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00E" w:rsidRDefault="00BB600E">
      <w:pPr>
        <w:widowControl w:val="0"/>
        <w:pBdr>
          <w:top w:val="nil"/>
          <w:left w:val="nil"/>
          <w:bottom w:val="nil"/>
          <w:right w:val="nil"/>
          <w:between w:val="nil"/>
        </w:pBdr>
        <w:spacing w:line="276" w:lineRule="auto"/>
      </w:pPr>
    </w:p>
    <w:p w:rsidR="00BB600E" w:rsidRDefault="00BB600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pPr w:leftFromText="141" w:rightFromText="141" w:vertAnchor="page" w:horzAnchor="margin" w:tblpXSpec="right" w:tblpY="346"/>
        <w:tblW w:w="5326" w:type="dxa"/>
        <w:tblInd w:w="0" w:type="dxa"/>
        <w:tblLayout w:type="fixed"/>
        <w:tblLook w:val="0400" w:firstRow="0" w:lastRow="0" w:firstColumn="0" w:lastColumn="0" w:noHBand="0" w:noVBand="1"/>
      </w:tblPr>
      <w:tblGrid>
        <w:gridCol w:w="5326"/>
      </w:tblGrid>
      <w:tr w:rsidR="00BB600E">
        <w:trPr>
          <w:trHeight w:val="981"/>
        </w:trPr>
        <w:tc>
          <w:tcPr>
            <w:tcW w:w="5326" w:type="dxa"/>
            <w:shd w:val="clear" w:color="auto" w:fill="auto"/>
          </w:tcPr>
          <w:p w:rsidR="00BB600E" w:rsidRDefault="00BB600E">
            <w:pPr>
              <w:rPr>
                <w:rFonts w:ascii="Arial" w:eastAsia="Arial" w:hAnsi="Arial" w:cs="Arial"/>
                <w:b/>
                <w:sz w:val="22"/>
                <w:szCs w:val="22"/>
              </w:rPr>
            </w:pPr>
          </w:p>
        </w:tc>
      </w:tr>
    </w:tbl>
    <w:p w:rsidR="00BB600E" w:rsidRDefault="00BB600E">
      <w:pPr>
        <w:jc w:val="right"/>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color w:val="808080"/>
          <w:sz w:val="22"/>
          <w:szCs w:val="22"/>
        </w:rPr>
        <w:sectPr w:rsidR="00BB600E">
          <w:headerReference w:type="default" r:id="rId8"/>
          <w:footerReference w:type="default" r:id="rId9"/>
          <w:pgSz w:w="12240" w:h="15840"/>
          <w:pgMar w:top="2268" w:right="1418" w:bottom="2268" w:left="1418" w:header="0" w:footer="0" w:gutter="0"/>
          <w:pgNumType w:start="1"/>
          <w:cols w:space="720"/>
        </w:sectPr>
      </w:pPr>
    </w:p>
    <w:p w:rsidR="00BB600E" w:rsidRDefault="00B277E4">
      <w:pPr>
        <w:jc w:val="center"/>
        <w:rPr>
          <w:rFonts w:ascii="Arial" w:eastAsia="Arial" w:hAnsi="Arial" w:cs="Arial"/>
          <w:b/>
        </w:rPr>
      </w:pPr>
      <w:r>
        <w:rPr>
          <w:rFonts w:ascii="Arial" w:eastAsia="Arial" w:hAnsi="Arial" w:cs="Arial"/>
          <w:b/>
        </w:rPr>
        <w:t>SECRETARIA DISTRITAL DE AMBIENTE</w:t>
      </w:r>
    </w:p>
    <w:p w:rsidR="00BB600E" w:rsidRDefault="00B277E4">
      <w:pPr>
        <w:tabs>
          <w:tab w:val="left" w:pos="567"/>
        </w:tabs>
        <w:jc w:val="center"/>
        <w:rPr>
          <w:rFonts w:ascii="Arial" w:eastAsia="Arial" w:hAnsi="Arial" w:cs="Arial"/>
          <w:b/>
        </w:rPr>
      </w:pPr>
      <w:r>
        <w:rPr>
          <w:rFonts w:ascii="Arial" w:eastAsia="Arial" w:hAnsi="Arial" w:cs="Arial"/>
          <w:b/>
        </w:rPr>
        <w:t>DIRECCIÓN DE CONTROL AMBIENTAL</w:t>
      </w:r>
    </w:p>
    <w:p w:rsidR="00BB600E" w:rsidRDefault="00BB600E">
      <w:pPr>
        <w:tabs>
          <w:tab w:val="left" w:pos="567"/>
        </w:tabs>
        <w:jc w:val="center"/>
        <w:rPr>
          <w:rFonts w:ascii="Arial" w:eastAsia="Arial" w:hAnsi="Arial" w:cs="Arial"/>
          <w:b/>
          <w:sz w:val="23"/>
          <w:szCs w:val="23"/>
        </w:rPr>
      </w:pPr>
    </w:p>
    <w:p w:rsidR="00BB600E" w:rsidRDefault="00B277E4">
      <w:pPr>
        <w:tabs>
          <w:tab w:val="left" w:pos="567"/>
        </w:tabs>
        <w:jc w:val="center"/>
        <w:rPr>
          <w:rFonts w:ascii="Arial" w:eastAsia="Arial" w:hAnsi="Arial" w:cs="Arial"/>
          <w:sz w:val="23"/>
          <w:szCs w:val="23"/>
        </w:rPr>
      </w:pPr>
      <w:r>
        <w:rPr>
          <w:rFonts w:ascii="Arial" w:eastAsia="Arial" w:hAnsi="Arial" w:cs="Arial"/>
          <w:b/>
          <w:sz w:val="23"/>
          <w:szCs w:val="23"/>
        </w:rPr>
        <w:t>Informe Técnico No. XXXXX, xxx de  xxxxxxx del  xxxxx</w:t>
      </w:r>
      <w:bookmarkStart w:id="2" w:name="bookmark=id.gjdgxs" w:colFirst="0" w:colLast="0"/>
      <w:bookmarkStart w:id="3" w:name="bookmark=id.30j0zll" w:colFirst="0" w:colLast="0"/>
      <w:bookmarkStart w:id="4" w:name="bookmark=id.1fob9te" w:colFirst="0" w:colLast="0"/>
      <w:bookmarkStart w:id="5" w:name="bookmark=id.3znysh7" w:colFirst="0" w:colLast="0"/>
      <w:bookmarkEnd w:id="2"/>
      <w:bookmarkEnd w:id="3"/>
      <w:bookmarkEnd w:id="4"/>
      <w:bookmarkEnd w:id="5"/>
    </w:p>
    <w:p w:rsidR="00BB600E" w:rsidRDefault="00BB600E">
      <w:pPr>
        <w:tabs>
          <w:tab w:val="left" w:pos="567"/>
        </w:tabs>
        <w:rPr>
          <w:rFonts w:ascii="Arial" w:eastAsia="Arial" w:hAnsi="Arial" w:cs="Arial"/>
          <w:sz w:val="23"/>
          <w:szCs w:val="23"/>
        </w:rPr>
        <w:sectPr w:rsidR="00BB600E">
          <w:type w:val="continuous"/>
          <w:pgSz w:w="12240" w:h="15840"/>
          <w:pgMar w:top="2268" w:right="1418" w:bottom="2268" w:left="1418" w:header="0" w:footer="0" w:gutter="0"/>
          <w:cols w:space="720"/>
        </w:sectPr>
      </w:pPr>
    </w:p>
    <w:p w:rsidR="00BB600E" w:rsidRDefault="00BB600E">
      <w:pPr>
        <w:widowControl w:val="0"/>
        <w:pBdr>
          <w:top w:val="nil"/>
          <w:left w:val="nil"/>
          <w:bottom w:val="nil"/>
          <w:right w:val="nil"/>
          <w:between w:val="nil"/>
        </w:pBdr>
        <w:spacing w:line="276" w:lineRule="auto"/>
        <w:rPr>
          <w:rFonts w:ascii="Arial" w:eastAsia="Arial" w:hAnsi="Arial" w:cs="Arial"/>
          <w:sz w:val="23"/>
          <w:szCs w:val="23"/>
        </w:rPr>
      </w:pPr>
    </w:p>
    <w:tbl>
      <w:tblPr>
        <w:tblStyle w:val="a0"/>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539"/>
        <w:gridCol w:w="2560"/>
        <w:gridCol w:w="1428"/>
        <w:gridCol w:w="2679"/>
      </w:tblGrid>
      <w:tr w:rsidR="00BB600E">
        <w:trPr>
          <w:trHeight w:val="743"/>
        </w:trPr>
        <w:tc>
          <w:tcPr>
            <w:tcW w:w="2539" w:type="dxa"/>
            <w:shd w:val="clear" w:color="auto" w:fill="auto"/>
            <w:vAlign w:val="center"/>
          </w:tcPr>
          <w:p w:rsidR="00BB600E" w:rsidRDefault="00B277E4">
            <w:pPr>
              <w:jc w:val="both"/>
              <w:rPr>
                <w:rFonts w:ascii="Arial" w:eastAsia="Arial" w:hAnsi="Arial" w:cs="Arial"/>
                <w:b/>
                <w:color w:val="000000"/>
                <w:sz w:val="22"/>
                <w:szCs w:val="22"/>
              </w:rPr>
            </w:pPr>
            <w:bookmarkStart w:id="6" w:name="_GoBack"/>
            <w:r>
              <w:rPr>
                <w:rFonts w:ascii="Arial" w:eastAsia="Arial" w:hAnsi="Arial" w:cs="Arial"/>
                <w:b/>
                <w:color w:val="000000"/>
                <w:sz w:val="22"/>
                <w:szCs w:val="22"/>
              </w:rPr>
              <w:t>ASUNTO</w:t>
            </w:r>
          </w:p>
        </w:tc>
        <w:tc>
          <w:tcPr>
            <w:tcW w:w="2560" w:type="dxa"/>
            <w:shd w:val="clear" w:color="auto" w:fill="auto"/>
            <w:vAlign w:val="center"/>
          </w:tcPr>
          <w:p w:rsidR="00BB600E" w:rsidRDefault="00B277E4">
            <w:pPr>
              <w:jc w:val="center"/>
              <w:rPr>
                <w:rFonts w:ascii="Arial" w:eastAsia="Arial" w:hAnsi="Arial" w:cs="Arial"/>
                <w:color w:val="000000"/>
                <w:sz w:val="22"/>
                <w:szCs w:val="22"/>
              </w:rPr>
            </w:pPr>
            <w:r>
              <w:rPr>
                <w:rFonts w:ascii="Arial" w:eastAsia="Arial" w:hAnsi="Arial" w:cs="Arial"/>
                <w:color w:val="000000"/>
                <w:sz w:val="22"/>
                <w:szCs w:val="22"/>
              </w:rPr>
              <w:t>PROCESO SANCIONATORIO</w:t>
            </w:r>
          </w:p>
        </w:tc>
        <w:tc>
          <w:tcPr>
            <w:tcW w:w="4107" w:type="dxa"/>
            <w:gridSpan w:val="2"/>
            <w:shd w:val="clear" w:color="auto" w:fill="auto"/>
            <w:vAlign w:val="center"/>
          </w:tcPr>
          <w:p w:rsidR="00BB600E" w:rsidRDefault="00B277E4">
            <w:pPr>
              <w:spacing w:before="240" w:after="240"/>
              <w:jc w:val="center"/>
              <w:rPr>
                <w:rFonts w:ascii="Arial" w:eastAsia="Arial" w:hAnsi="Arial" w:cs="Arial"/>
                <w:color w:val="000000"/>
                <w:sz w:val="22"/>
                <w:szCs w:val="22"/>
              </w:rPr>
            </w:pPr>
            <w:r>
              <w:rPr>
                <w:rFonts w:ascii="Arial" w:eastAsia="Arial" w:hAnsi="Arial" w:cs="Arial"/>
                <w:sz w:val="22"/>
                <w:szCs w:val="22"/>
              </w:rPr>
              <w:t>INFORME DE CRITERIOS PARA IMPOSICIÓN DE SANCIÓN</w:t>
            </w:r>
          </w:p>
        </w:tc>
      </w:tr>
      <w:tr w:rsidR="00BB600E">
        <w:tc>
          <w:tcPr>
            <w:tcW w:w="2539" w:type="dxa"/>
            <w:shd w:val="clear" w:color="auto" w:fill="auto"/>
            <w:vAlign w:val="center"/>
          </w:tcPr>
          <w:p w:rsidR="00BB600E" w:rsidRDefault="00B277E4">
            <w:pPr>
              <w:jc w:val="both"/>
              <w:rPr>
                <w:rFonts w:ascii="Arial" w:eastAsia="Arial" w:hAnsi="Arial" w:cs="Arial"/>
                <w:sz w:val="22"/>
                <w:szCs w:val="22"/>
              </w:rPr>
            </w:pPr>
            <w:r>
              <w:rPr>
                <w:rFonts w:ascii="Arial" w:eastAsia="Arial" w:hAnsi="Arial" w:cs="Arial"/>
                <w:b/>
                <w:sz w:val="22"/>
                <w:szCs w:val="22"/>
              </w:rPr>
              <w:t>PRESUNTO INFRACTOR:</w:t>
            </w:r>
          </w:p>
        </w:tc>
        <w:tc>
          <w:tcPr>
            <w:tcW w:w="6667" w:type="dxa"/>
            <w:gridSpan w:val="3"/>
            <w:shd w:val="clear" w:color="auto" w:fill="auto"/>
            <w:vAlign w:val="center"/>
          </w:tcPr>
          <w:p w:rsidR="00BB600E" w:rsidRPr="003842E4" w:rsidRDefault="00B277E4">
            <w:pPr>
              <w:rPr>
                <w:rFonts w:ascii="Arial" w:eastAsia="Arial" w:hAnsi="Arial" w:cs="Arial"/>
                <w:color w:val="000000" w:themeColor="text1"/>
                <w:sz w:val="22"/>
                <w:szCs w:val="22"/>
              </w:rPr>
            </w:pPr>
            <w:r w:rsidRPr="003842E4">
              <w:rPr>
                <w:rFonts w:ascii="Arial" w:eastAsia="Arial" w:hAnsi="Arial" w:cs="Arial"/>
                <w:color w:val="000000" w:themeColor="text1"/>
                <w:sz w:val="22"/>
                <w:szCs w:val="22"/>
              </w:rPr>
              <w:t>DIANA MILENA OSMA DIAZ</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IDENTIFICACIÓN:</w:t>
            </w:r>
          </w:p>
        </w:tc>
        <w:tc>
          <w:tcPr>
            <w:tcW w:w="6667" w:type="dxa"/>
            <w:gridSpan w:val="3"/>
            <w:shd w:val="clear" w:color="auto" w:fill="auto"/>
            <w:vAlign w:val="center"/>
          </w:tcPr>
          <w:p w:rsidR="00BB600E" w:rsidRPr="003842E4" w:rsidRDefault="00B277E4">
            <w:pPr>
              <w:rPr>
                <w:rFonts w:ascii="Arial" w:eastAsia="Arial" w:hAnsi="Arial" w:cs="Arial"/>
                <w:color w:val="000000" w:themeColor="text1"/>
                <w:sz w:val="22"/>
                <w:szCs w:val="22"/>
              </w:rPr>
            </w:pPr>
            <w:r w:rsidRPr="003842E4">
              <w:rPr>
                <w:rFonts w:ascii="Arial" w:eastAsia="Arial" w:hAnsi="Arial" w:cs="Arial"/>
                <w:color w:val="000000" w:themeColor="text1"/>
              </w:rPr>
              <w:t>1.014.192.252</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EXPEDIENTE:</w:t>
            </w:r>
          </w:p>
        </w:tc>
        <w:tc>
          <w:tcPr>
            <w:tcW w:w="6667" w:type="dxa"/>
            <w:gridSpan w:val="3"/>
            <w:shd w:val="clear" w:color="auto" w:fill="auto"/>
            <w:vAlign w:val="center"/>
          </w:tcPr>
          <w:p w:rsidR="00BB600E" w:rsidRPr="003842E4" w:rsidRDefault="00B277E4">
            <w:pPr>
              <w:jc w:val="both"/>
              <w:rPr>
                <w:rFonts w:ascii="Arial" w:eastAsia="Arial" w:hAnsi="Arial" w:cs="Arial"/>
                <w:color w:val="000000" w:themeColor="text1"/>
                <w:sz w:val="22"/>
                <w:szCs w:val="22"/>
              </w:rPr>
            </w:pPr>
            <w:bookmarkStart w:id="7" w:name="bookmark=id.2et92p0" w:colFirst="0" w:colLast="0"/>
            <w:bookmarkEnd w:id="7"/>
            <w:r w:rsidRPr="003842E4">
              <w:rPr>
                <w:rFonts w:ascii="Arial" w:eastAsia="Arial" w:hAnsi="Arial" w:cs="Arial"/>
                <w:color w:val="000000" w:themeColor="text1"/>
                <w:sz w:val="22"/>
                <w:szCs w:val="22"/>
              </w:rPr>
              <w:t>SDA-08-2014-1927</w:t>
            </w:r>
          </w:p>
        </w:tc>
      </w:tr>
      <w:tr w:rsidR="00BB600E">
        <w:tc>
          <w:tcPr>
            <w:tcW w:w="6527" w:type="dxa"/>
            <w:gridSpan w:val="3"/>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REQUIERE ACTUACIÓN DEL GRUPO JURÍDICO DE LA DCA</w:t>
            </w:r>
          </w:p>
        </w:tc>
        <w:tc>
          <w:tcPr>
            <w:tcW w:w="2679" w:type="dxa"/>
            <w:shd w:val="clear" w:color="auto" w:fill="auto"/>
            <w:vAlign w:val="center"/>
          </w:tcPr>
          <w:p w:rsidR="00BB600E" w:rsidRDefault="00B277E4">
            <w:pPr>
              <w:jc w:val="both"/>
              <w:rPr>
                <w:rFonts w:ascii="Arial" w:eastAsia="Arial" w:hAnsi="Arial" w:cs="Arial"/>
                <w:color w:val="000000"/>
                <w:sz w:val="22"/>
                <w:szCs w:val="22"/>
              </w:rPr>
            </w:pPr>
            <w:r>
              <w:rPr>
                <w:rFonts w:ascii="Arial" w:eastAsia="Arial" w:hAnsi="Arial" w:cs="Arial"/>
                <w:color w:val="000000"/>
                <w:sz w:val="22"/>
                <w:szCs w:val="22"/>
              </w:rPr>
              <w:t>SI</w:t>
            </w:r>
          </w:p>
        </w:tc>
      </w:tr>
      <w:bookmarkEnd w:id="6"/>
    </w:tbl>
    <w:p w:rsidR="00BB600E" w:rsidRDefault="00BB600E">
      <w:pPr>
        <w:tabs>
          <w:tab w:val="left" w:pos="567"/>
        </w:tabs>
        <w:rPr>
          <w:rFonts w:ascii="Arial" w:eastAsia="Arial" w:hAnsi="Arial" w:cs="Arial"/>
        </w:rPr>
      </w:pPr>
    </w:p>
    <w:p w:rsidR="00BB600E" w:rsidRDefault="00BB600E"/>
    <w:p w:rsidR="00BB600E" w:rsidRDefault="00B277E4">
      <w:pPr>
        <w:pStyle w:val="Ttulo1"/>
        <w:numPr>
          <w:ilvl w:val="0"/>
          <w:numId w:val="3"/>
        </w:numPr>
        <w:spacing w:before="0" w:after="0" w:line="360" w:lineRule="auto"/>
        <w:ind w:left="357" w:hanging="357"/>
        <w:rPr>
          <w:b/>
          <w:sz w:val="24"/>
          <w:szCs w:val="24"/>
        </w:rPr>
      </w:pPr>
      <w:r>
        <w:rPr>
          <w:b/>
          <w:sz w:val="24"/>
          <w:szCs w:val="24"/>
        </w:rPr>
        <w:t xml:space="preserve">OBJETIVO </w:t>
      </w:r>
    </w:p>
    <w:p w:rsidR="00C753DE" w:rsidRPr="00C753DE" w:rsidRDefault="00C753DE" w:rsidP="00C753DE">
      <w:pPr>
        <w:rPr>
          <w:lang w:val="es-ES" w:eastAsia="en-US"/>
        </w:rPr>
      </w:pPr>
    </w:p>
    <w:p w:rsidR="00BB600E" w:rsidRDefault="00B277E4">
      <w:pPr>
        <w:spacing w:line="360" w:lineRule="auto"/>
        <w:jc w:val="both"/>
        <w:rPr>
          <w:rFonts w:ascii="Arial" w:eastAsia="Arial" w:hAnsi="Arial" w:cs="Arial"/>
        </w:rPr>
      </w:pPr>
      <w:r>
        <w:rPr>
          <w:rFonts w:ascii="Arial" w:eastAsia="Arial" w:hAnsi="Arial" w:cs="Arial"/>
        </w:rPr>
        <w:t>Elaborar el informe técnico de criterios para determinar la sanción de tipo ambiental a imponer a la señora DIANA MILENA</w:t>
      </w:r>
      <w:r w:rsidR="003842E4">
        <w:rPr>
          <w:rFonts w:ascii="Arial" w:eastAsia="Arial" w:hAnsi="Arial" w:cs="Arial"/>
        </w:rPr>
        <w:t xml:space="preserve"> OSMA DIAZ, identificada con cédula de ciudadanía</w:t>
      </w:r>
      <w:r>
        <w:rPr>
          <w:rFonts w:ascii="Arial" w:eastAsia="Arial" w:hAnsi="Arial" w:cs="Arial"/>
        </w:rPr>
        <w:t xml:space="preserve"> 1.014.192.252,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3842E4">
        <w:rPr>
          <w:rFonts w:ascii="Arial" w:eastAsia="Arial" w:hAnsi="Arial" w:cs="Arial"/>
        </w:rPr>
        <w:t>).</w:t>
      </w:r>
      <w:r>
        <w:rPr>
          <w:rFonts w:ascii="Arial" w:eastAsia="Arial" w:hAnsi="Arial" w:cs="Arial"/>
        </w:rPr>
        <w:t xml:space="preserve">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RELACIÓN DE CARGOS</w:t>
      </w:r>
    </w:p>
    <w:p w:rsidR="00BB600E" w:rsidRDefault="00BB600E">
      <w:pPr>
        <w:spacing w:line="360" w:lineRule="auto"/>
      </w:pPr>
    </w:p>
    <w:p w:rsidR="00BB600E" w:rsidRDefault="00B277E4" w:rsidP="003842E4">
      <w:pPr>
        <w:spacing w:line="276" w:lineRule="auto"/>
        <w:jc w:val="both"/>
        <w:rPr>
          <w:rFonts w:ascii="Arial" w:eastAsia="Arial" w:hAnsi="Arial" w:cs="Arial"/>
          <w:color w:val="000000"/>
        </w:rPr>
      </w:pPr>
      <w:r>
        <w:rPr>
          <w:rFonts w:ascii="Arial" w:eastAsia="Arial" w:hAnsi="Arial" w:cs="Arial"/>
          <w:color w:val="000000"/>
        </w:rPr>
        <w:lastRenderedPageBreak/>
        <w:t>A continuación, se presentan los cargos formulados en el Auto 02737 de 25 de agosto de 2015:</w:t>
      </w:r>
    </w:p>
    <w:p w:rsidR="00BB600E" w:rsidRDefault="00BB600E">
      <w:pPr>
        <w:spacing w:line="360" w:lineRule="auto"/>
        <w:jc w:val="both"/>
        <w:rPr>
          <w:rFonts w:ascii="Arial" w:eastAsia="Arial" w:hAnsi="Arial" w:cs="Arial"/>
        </w:rPr>
      </w:pPr>
    </w:p>
    <w:p w:rsidR="00BB600E" w:rsidRPr="003842E4" w:rsidRDefault="003842E4" w:rsidP="003842E4">
      <w:pPr>
        <w:spacing w:line="360" w:lineRule="auto"/>
        <w:ind w:left="720"/>
        <w:jc w:val="both"/>
        <w:rPr>
          <w:rFonts w:ascii="Arial" w:eastAsia="Arial" w:hAnsi="Arial" w:cs="Arial"/>
          <w:color w:val="000000" w:themeColor="text1"/>
        </w:rPr>
      </w:pPr>
      <w:r>
        <w:rPr>
          <w:rFonts w:ascii="Arial" w:eastAsia="Arial" w:hAnsi="Arial" w:cs="Arial"/>
          <w:b/>
          <w:color w:val="000000" w:themeColor="text1"/>
        </w:rPr>
        <w:t>“</w:t>
      </w:r>
      <w:r w:rsidR="00B277E4" w:rsidRPr="003842E4">
        <w:rPr>
          <w:rFonts w:ascii="Arial" w:eastAsia="Arial" w:hAnsi="Arial" w:cs="Arial"/>
          <w:b/>
          <w:color w:val="000000" w:themeColor="text1"/>
        </w:rPr>
        <w:t>Cargo Primero:</w:t>
      </w:r>
      <w:r w:rsidR="00B277E4" w:rsidRPr="003842E4">
        <w:rPr>
          <w:rFonts w:ascii="Arial" w:eastAsia="Arial" w:hAnsi="Arial" w:cs="Arial"/>
          <w:color w:val="000000" w:themeColor="text1"/>
        </w:rPr>
        <w:t xml:space="preserve"> Superar presuntamente los estándares máximos permisibles de emisión de ruido en un Sector B. Tranquilidad y Ruido Moderado – zona residencial en un horario nocturno, mediante el empleo de una (1) Rockola con dos (2) bafles, contraviniendo lo normado en la Tabla No. 1 del artículo 9° de la Resolución 0627 de 2006.</w:t>
      </w:r>
      <w:r>
        <w:rPr>
          <w:rFonts w:ascii="Arial" w:eastAsia="Arial" w:hAnsi="Arial" w:cs="Arial"/>
          <w:color w:val="000000" w:themeColor="text1"/>
        </w:rPr>
        <w:t>”</w:t>
      </w:r>
    </w:p>
    <w:p w:rsidR="00BB600E" w:rsidRPr="003842E4" w:rsidRDefault="00BB600E" w:rsidP="003842E4">
      <w:pPr>
        <w:spacing w:line="360" w:lineRule="auto"/>
        <w:ind w:left="720"/>
        <w:jc w:val="both"/>
        <w:rPr>
          <w:rFonts w:ascii="Arial" w:eastAsia="Arial" w:hAnsi="Arial" w:cs="Arial"/>
          <w:color w:val="000000" w:themeColor="text1"/>
        </w:rPr>
      </w:pPr>
    </w:p>
    <w:p w:rsidR="00BB600E" w:rsidRPr="003842E4" w:rsidRDefault="003842E4" w:rsidP="003842E4">
      <w:pPr>
        <w:spacing w:line="360" w:lineRule="auto"/>
        <w:ind w:left="720"/>
        <w:jc w:val="both"/>
        <w:rPr>
          <w:rFonts w:ascii="Arial" w:eastAsia="Arial" w:hAnsi="Arial" w:cs="Arial"/>
          <w:color w:val="000000" w:themeColor="text1"/>
        </w:rPr>
      </w:pPr>
      <w:r>
        <w:rPr>
          <w:rFonts w:ascii="Arial" w:eastAsia="Arial" w:hAnsi="Arial" w:cs="Arial"/>
          <w:b/>
          <w:color w:val="000000" w:themeColor="text1"/>
        </w:rPr>
        <w:t>“</w:t>
      </w:r>
      <w:r w:rsidR="00B277E4" w:rsidRPr="003842E4">
        <w:rPr>
          <w:rFonts w:ascii="Arial" w:eastAsia="Arial" w:hAnsi="Arial" w:cs="Arial"/>
          <w:b/>
          <w:color w:val="000000" w:themeColor="text1"/>
        </w:rPr>
        <w:t>Cargo Segundo:</w:t>
      </w:r>
      <w:r w:rsidR="00B277E4" w:rsidRPr="003842E4">
        <w:rPr>
          <w:rFonts w:ascii="Arial" w:eastAsia="Arial" w:hAnsi="Arial" w:cs="Arial"/>
          <w:color w:val="000000" w:themeColor="text1"/>
        </w:rPr>
        <w:t xml:space="preserve"> Presuntamente generar ruido que traspase los límites de una propiedad, en contravención de los estándares permisibles de presión sonora o dentro de los horarios fijados por las normas respectivas, según se establece en el artículo 45 del Decreto 948 de 1995.</w:t>
      </w:r>
      <w:r>
        <w:rPr>
          <w:rFonts w:ascii="Arial" w:eastAsia="Arial" w:hAnsi="Arial" w:cs="Arial"/>
          <w:color w:val="000000" w:themeColor="text1"/>
        </w:rPr>
        <w:t>”</w:t>
      </w:r>
      <w:r w:rsidR="00B277E4" w:rsidRPr="003842E4">
        <w:rPr>
          <w:rFonts w:ascii="Arial" w:eastAsia="Arial" w:hAnsi="Arial" w:cs="Arial"/>
          <w:color w:val="000000" w:themeColor="text1"/>
        </w:rPr>
        <w:t xml:space="preserve"> </w:t>
      </w:r>
    </w:p>
    <w:p w:rsidR="00BB600E" w:rsidRPr="003842E4" w:rsidRDefault="00BB600E" w:rsidP="003842E4">
      <w:pPr>
        <w:spacing w:line="360" w:lineRule="auto"/>
        <w:ind w:left="720"/>
        <w:jc w:val="both"/>
        <w:rPr>
          <w:rFonts w:ascii="Arial" w:eastAsia="Arial" w:hAnsi="Arial" w:cs="Arial"/>
          <w:b/>
          <w:color w:val="000000" w:themeColor="text1"/>
        </w:rPr>
      </w:pPr>
    </w:p>
    <w:p w:rsidR="00BB600E" w:rsidRPr="003842E4" w:rsidRDefault="003842E4" w:rsidP="003842E4">
      <w:pPr>
        <w:spacing w:line="360" w:lineRule="auto"/>
        <w:ind w:left="720"/>
        <w:jc w:val="both"/>
        <w:rPr>
          <w:rFonts w:ascii="Arial" w:eastAsia="Arial" w:hAnsi="Arial" w:cs="Arial"/>
          <w:color w:val="000000" w:themeColor="text1"/>
        </w:rPr>
      </w:pPr>
      <w:r>
        <w:rPr>
          <w:rFonts w:ascii="Arial" w:eastAsia="Arial" w:hAnsi="Arial" w:cs="Arial"/>
          <w:b/>
          <w:color w:val="000000" w:themeColor="text1"/>
        </w:rPr>
        <w:t>“</w:t>
      </w:r>
      <w:r w:rsidR="00B277E4" w:rsidRPr="003842E4">
        <w:rPr>
          <w:rFonts w:ascii="Arial" w:eastAsia="Arial" w:hAnsi="Arial" w:cs="Arial"/>
          <w:b/>
          <w:color w:val="000000" w:themeColor="text1"/>
        </w:rPr>
        <w:t>Cargo Tercero:</w:t>
      </w:r>
      <w:r w:rsidR="00B277E4" w:rsidRPr="003842E4">
        <w:rPr>
          <w:rFonts w:ascii="Arial" w:eastAsia="Arial" w:hAnsi="Arial" w:cs="Arial"/>
          <w:color w:val="000000" w:themeColor="text1"/>
        </w:rPr>
        <w:t xml:space="preserve"> Por no emplear los sistemas de control necesarios para garantizar que los niveles de ruido no perturbaran las zonas aledañas habitadas, según se establece en el artículo 51 del Decreto 948 de 1995.</w:t>
      </w:r>
      <w:r>
        <w:rPr>
          <w:rFonts w:ascii="Arial" w:eastAsia="Arial" w:hAnsi="Arial" w:cs="Arial"/>
          <w:color w:val="000000" w:themeColor="text1"/>
        </w:rPr>
        <w:t>”</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CIRCUNSTANCIAS DE TIEMPO MODO Y LUGAR</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Según pruebas obrantes en el expediente sancionatorio SDA-08-2014-1927, y en especial las evidencias técnicas sustentadas en el concepto técnico 09152 del 28 de noviembre del 2013 se determina lo siguiente: </w:t>
      </w:r>
    </w:p>
    <w:p w:rsidR="00BB600E" w:rsidRDefault="00BB600E">
      <w:pPr>
        <w:spacing w:line="360" w:lineRule="auto"/>
        <w:jc w:val="both"/>
        <w:rPr>
          <w:rFonts w:ascii="Arial" w:eastAsia="Arial" w:hAnsi="Arial" w:cs="Arial"/>
        </w:rPr>
      </w:pPr>
    </w:p>
    <w:p w:rsidR="00BB600E" w:rsidRPr="00E93FBE" w:rsidRDefault="00B277E4">
      <w:pPr>
        <w:spacing w:line="360" w:lineRule="auto"/>
        <w:jc w:val="both"/>
        <w:rPr>
          <w:rFonts w:ascii="Arial" w:eastAsia="Arial" w:hAnsi="Arial" w:cs="Arial"/>
          <w:color w:val="FF0000"/>
        </w:rPr>
      </w:pPr>
      <w:r>
        <w:rPr>
          <w:rFonts w:ascii="Arial" w:eastAsia="Arial" w:hAnsi="Arial" w:cs="Arial"/>
          <w:b/>
        </w:rPr>
        <w:t xml:space="preserve">Tiempo: </w:t>
      </w:r>
      <w:r w:rsidRPr="00E93FBE">
        <w:rPr>
          <w:rFonts w:ascii="Arial" w:eastAsia="Arial" w:hAnsi="Arial" w:cs="Arial"/>
        </w:rPr>
        <w:t>la visita técnica, en la que se llevó a cabo la medición, tuvo lugar el 26/10/2013 en horario nocturno.</w:t>
      </w:r>
    </w:p>
    <w:p w:rsidR="00BB600E" w:rsidRDefault="00BB600E">
      <w:pPr>
        <w:spacing w:line="360" w:lineRule="auto"/>
        <w:jc w:val="both"/>
        <w:rPr>
          <w:rFonts w:ascii="Arial" w:eastAsia="Arial" w:hAnsi="Arial" w:cs="Arial"/>
          <w:b/>
          <w:color w:val="C00000"/>
        </w:rPr>
      </w:pPr>
    </w:p>
    <w:p w:rsidR="00BB600E" w:rsidRPr="00E93FBE" w:rsidRDefault="00B277E4">
      <w:pPr>
        <w:spacing w:line="360" w:lineRule="auto"/>
        <w:jc w:val="both"/>
        <w:rPr>
          <w:rFonts w:ascii="Arial" w:eastAsia="Arial" w:hAnsi="Arial" w:cs="Arial"/>
        </w:rPr>
      </w:pPr>
      <w:r>
        <w:rPr>
          <w:rFonts w:ascii="Arial" w:eastAsia="Arial" w:hAnsi="Arial" w:cs="Arial"/>
          <w:b/>
        </w:rPr>
        <w:lastRenderedPageBreak/>
        <w:t xml:space="preserve">Modo: </w:t>
      </w:r>
      <w:r w:rsidRPr="00E93FBE">
        <w:rPr>
          <w:rFonts w:ascii="Arial" w:eastAsia="Arial" w:hAnsi="Arial" w:cs="Arial"/>
        </w:rPr>
        <w:t>en atención al Acta de requerimiento No</w:t>
      </w:r>
      <w:r w:rsidR="00E93FBE" w:rsidRPr="00E93FBE">
        <w:rPr>
          <w:rFonts w:ascii="Arial" w:eastAsia="Arial" w:hAnsi="Arial" w:cs="Arial"/>
        </w:rPr>
        <w:t>.</w:t>
      </w:r>
      <w:r w:rsidRPr="00E93FBE">
        <w:rPr>
          <w:rFonts w:ascii="Arial" w:eastAsia="Arial" w:hAnsi="Arial" w:cs="Arial"/>
        </w:rPr>
        <w:t xml:space="preserve"> 2257 </w:t>
      </w:r>
      <w:r w:rsidR="00E93FBE" w:rsidRPr="00E93FBE">
        <w:rPr>
          <w:rFonts w:ascii="Arial" w:eastAsia="Arial" w:hAnsi="Arial" w:cs="Arial"/>
        </w:rPr>
        <w:t>del</w:t>
      </w:r>
      <w:r w:rsidRPr="00E93FBE">
        <w:rPr>
          <w:rFonts w:ascii="Arial" w:eastAsia="Arial" w:hAnsi="Arial" w:cs="Arial"/>
        </w:rPr>
        <w:t xml:space="preserve"> 14/09/2013 con Radicado No. 2013ER038332 del 11/04/2013, se realiza visita técnica por parte de la Subdirección de Calidad del Aire, Auditiva y Visual (SCAAV) de la Secretaría Distrital de Ambiente (SDA), con el fin de verificar los niveles de presión sonora generados por el establecimien</w:t>
      </w:r>
      <w:r w:rsidR="00E93FBE">
        <w:rPr>
          <w:rFonts w:ascii="Arial" w:eastAsia="Arial" w:hAnsi="Arial" w:cs="Arial"/>
        </w:rPr>
        <w:t>to TIENDA BAR LA SANTANDEREANA,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el momento de la visita se evidencia que el establecimiento se encuentra en una zona residencial y se encuentran como fuentes de emisión 1 Rockola y 2 Bafles.</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consecuencia, de la mencionada visita, se estableció que el nivel equivalente del aporte sonoro de las fuentes específicas (Leq emisión) fue de 71,9dB (A). Por lo tanto, se concluyó que se superaron los niveles máximos permisibles aceptados por la norma, correspondientes a 55 dB(A) en horario nocturno para una zona residencial.</w:t>
      </w:r>
    </w:p>
    <w:p w:rsidR="00BB600E" w:rsidRDefault="00BB600E">
      <w:pPr>
        <w:spacing w:line="360" w:lineRule="auto"/>
        <w:jc w:val="both"/>
        <w:rPr>
          <w:rFonts w:ascii="Arial" w:eastAsia="Arial" w:hAnsi="Arial" w:cs="Arial"/>
        </w:rPr>
      </w:pPr>
    </w:p>
    <w:p w:rsidR="00BB600E" w:rsidRPr="00E93FBE" w:rsidRDefault="00B277E4">
      <w:pPr>
        <w:spacing w:line="360" w:lineRule="auto"/>
        <w:jc w:val="both"/>
        <w:rPr>
          <w:rFonts w:ascii="Arial" w:eastAsia="Arial" w:hAnsi="Arial" w:cs="Arial"/>
        </w:rPr>
      </w:pPr>
      <w:r>
        <w:rPr>
          <w:rFonts w:ascii="Arial" w:eastAsia="Arial" w:hAnsi="Arial" w:cs="Arial"/>
          <w:b/>
        </w:rPr>
        <w:t>Lugar</w:t>
      </w:r>
      <w:r w:rsidRPr="00E93FBE">
        <w:rPr>
          <w:rFonts w:ascii="Arial" w:eastAsia="Arial" w:hAnsi="Arial" w:cs="Arial"/>
        </w:rPr>
        <w:t>: las infracciones objeto del presente proceso sancionatorio se evidenciaron en el establecimiento denominado TIENDA BAR LA SANTANDEREANA,, ubicado en la CALLE 66 No. 73 A 74, barrio Boyacá Real, localidad de Engativá.</w:t>
      </w:r>
    </w:p>
    <w:p w:rsidR="00BB600E" w:rsidRPr="00E93FBE" w:rsidRDefault="00BB600E">
      <w:pPr>
        <w:spacing w:line="360" w:lineRule="auto"/>
        <w:jc w:val="both"/>
        <w:rPr>
          <w:rFonts w:ascii="Arial" w:eastAsia="Arial" w:hAnsi="Arial" w:cs="Arial"/>
        </w:rPr>
      </w:pPr>
    </w:p>
    <w:p w:rsidR="00BB600E" w:rsidRDefault="00BB600E">
      <w:pPr>
        <w:spacing w:line="360" w:lineRule="auto"/>
        <w:jc w:val="both"/>
        <w:rPr>
          <w:rFonts w:ascii="Arial" w:eastAsia="Arial" w:hAnsi="Arial" w:cs="Arial"/>
        </w:rPr>
      </w:pPr>
    </w:p>
    <w:p w:rsidR="00BB600E" w:rsidRDefault="00B277E4" w:rsidP="00E93FBE">
      <w:pPr>
        <w:pStyle w:val="Ttulo1"/>
        <w:numPr>
          <w:ilvl w:val="0"/>
          <w:numId w:val="3"/>
        </w:numPr>
        <w:spacing w:before="0" w:after="0" w:line="360" w:lineRule="auto"/>
        <w:ind w:left="357" w:hanging="357"/>
        <w:rPr>
          <w:b/>
          <w:sz w:val="24"/>
          <w:szCs w:val="24"/>
        </w:rPr>
      </w:pPr>
      <w:r>
        <w:rPr>
          <w:b/>
          <w:sz w:val="24"/>
          <w:szCs w:val="24"/>
        </w:rPr>
        <w:t>DESCARGOS</w:t>
      </w:r>
    </w:p>
    <w:p w:rsidR="00E93FBE" w:rsidRPr="00E93FBE" w:rsidRDefault="00E93FBE" w:rsidP="00E93FBE">
      <w:pPr>
        <w:rPr>
          <w:rFonts w:eastAsia="Arial"/>
          <w:lang w:val="es-ES" w:eastAsia="en-US"/>
        </w:rPr>
      </w:pPr>
    </w:p>
    <w:p w:rsidR="00BB600E" w:rsidRDefault="00B277E4">
      <w:pPr>
        <w:spacing w:line="360" w:lineRule="auto"/>
        <w:jc w:val="both"/>
        <w:rPr>
          <w:rFonts w:ascii="Arial" w:eastAsia="Arial" w:hAnsi="Arial" w:cs="Arial"/>
        </w:rPr>
      </w:pPr>
      <w:r>
        <w:rPr>
          <w:rFonts w:ascii="Arial" w:eastAsia="Arial" w:hAnsi="Arial" w:cs="Arial"/>
        </w:rPr>
        <w:t>Que, transcurrido el término de ley, para la presentación de descargos, y una vez revisado el sistema forest de la Entidad, así como las actuaciones que reposan en el expediente SDA-08-2014-1927, se evidenció que la señora DIANA MILENA</w:t>
      </w:r>
      <w:r w:rsidR="00E93FBE">
        <w:rPr>
          <w:rFonts w:ascii="Arial" w:eastAsia="Arial" w:hAnsi="Arial" w:cs="Arial"/>
        </w:rPr>
        <w:t xml:space="preserve"> OSMA DIAZ, identificada con cédula de ciudadanía</w:t>
      </w:r>
      <w:r>
        <w:rPr>
          <w:rFonts w:ascii="Arial" w:eastAsia="Arial" w:hAnsi="Arial" w:cs="Arial"/>
        </w:rPr>
        <w:t xml:space="preserve"> 1.014.192.252, en calidad de propietario del establecimiento denominado TIENDA BAR LA SANTANDEREANA,, no presentó escrito de descargos, ni </w:t>
      </w:r>
      <w:r>
        <w:rPr>
          <w:rFonts w:ascii="Arial" w:eastAsia="Arial" w:hAnsi="Arial" w:cs="Arial"/>
        </w:rPr>
        <w:lastRenderedPageBreak/>
        <w:t>solicitó pruebas en contra del Auto 02737 de 25 de agosto de 2015, a tener en cuenta en el presente proceso sancionatorio, dentro del término establecido en la ley.</w:t>
      </w:r>
    </w:p>
    <w:p w:rsidR="00BB600E" w:rsidRPr="00066A51" w:rsidRDefault="00BB600E">
      <w:pPr>
        <w:rPr>
          <w:sz w:val="28"/>
        </w:rPr>
      </w:pPr>
    </w:p>
    <w:p w:rsidR="00BB600E" w:rsidRPr="00066A51" w:rsidRDefault="00B277E4">
      <w:pPr>
        <w:pStyle w:val="Ttulo1"/>
        <w:numPr>
          <w:ilvl w:val="0"/>
          <w:numId w:val="3"/>
        </w:numPr>
        <w:spacing w:before="0" w:after="0" w:line="360" w:lineRule="auto"/>
        <w:ind w:left="357" w:hanging="357"/>
        <w:rPr>
          <w:b/>
          <w:sz w:val="24"/>
        </w:rPr>
      </w:pPr>
      <w:r w:rsidRPr="00066A51">
        <w:rPr>
          <w:b/>
          <w:sz w:val="24"/>
        </w:rPr>
        <w:t>IDONEIDAD DE LA SANCIÓN A IMPONER</w:t>
      </w:r>
    </w:p>
    <w:p w:rsidR="00BB600E" w:rsidRDefault="00BB600E"/>
    <w:p w:rsidR="00066A51" w:rsidRDefault="00066A51" w:rsidP="00066A51">
      <w:pPr>
        <w:spacing w:line="360" w:lineRule="auto"/>
        <w:jc w:val="both"/>
        <w:rPr>
          <w:rFonts w:ascii="Arial" w:eastAsia="Arial" w:hAnsi="Arial" w:cs="Arial"/>
        </w:rPr>
      </w:pPr>
      <w:r w:rsidRPr="00066A51">
        <w:rPr>
          <w:rFonts w:ascii="Arial" w:eastAsia="Arial" w:hAnsi="Arial" w:cs="Arial"/>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E93FBE" w:rsidRPr="00066A51" w:rsidRDefault="00E93FBE" w:rsidP="00066A51">
      <w:pPr>
        <w:spacing w:line="360" w:lineRule="auto"/>
        <w:jc w:val="both"/>
        <w:rPr>
          <w:rFonts w:ascii="Arial" w:eastAsia="Arial" w:hAnsi="Arial" w:cs="Arial"/>
        </w:rPr>
      </w:pPr>
    </w:p>
    <w:p w:rsidR="00BB600E" w:rsidRDefault="00066A51" w:rsidP="00066A51">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rsidR="00066A51" w:rsidRDefault="00066A51" w:rsidP="00066A51">
      <w:pPr>
        <w:spacing w:line="360" w:lineRule="auto"/>
        <w:jc w:val="both"/>
      </w:pPr>
    </w:p>
    <w:p w:rsidR="00BB600E" w:rsidRDefault="00B277E4">
      <w:pPr>
        <w:pStyle w:val="Ttulo1"/>
        <w:numPr>
          <w:ilvl w:val="0"/>
          <w:numId w:val="3"/>
        </w:numPr>
        <w:spacing w:before="0" w:after="0" w:line="360" w:lineRule="auto"/>
        <w:ind w:left="357" w:hanging="357"/>
        <w:rPr>
          <w:b/>
          <w:sz w:val="24"/>
          <w:szCs w:val="24"/>
        </w:rPr>
      </w:pPr>
      <w:r>
        <w:rPr>
          <w:b/>
          <w:sz w:val="24"/>
          <w:szCs w:val="24"/>
        </w:rPr>
        <w:t>TASACIÓN DE LA MULTA. APLICACIÓN DE LOS CRITERIOS ESTABLECIDOS EN LA RESOLUCIÓN MAVDT 2086 DE 2010.</w:t>
      </w:r>
    </w:p>
    <w:p w:rsidR="00BB600E" w:rsidRDefault="00BB600E">
      <w:pPr>
        <w:spacing w:line="360" w:lineRule="auto"/>
      </w:pPr>
    </w:p>
    <w:p w:rsidR="00BB600E" w:rsidRDefault="00066A51" w:rsidP="00066A51">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sz w:val="24"/>
          <w:szCs w:val="24"/>
        </w:rPr>
      </w:pPr>
      <w:r>
        <w:rPr>
          <w:rFonts w:eastAsia="Arial" w:cs="Arial"/>
          <w:sz w:val="24"/>
          <w:szCs w:val="24"/>
        </w:rPr>
        <w:t>BENEFICIO ILÍCITO (B)</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lastRenderedPageBreak/>
        <w:t>Se refiere a la ganancia económica que obtiene el presunto infractor fruto de su conducta. El valor del beneficio ilícito es la cuantía mínima que debe tomar una multa para cumplir su función disuasiva.</w:t>
      </w:r>
    </w:p>
    <w:p w:rsidR="00BB600E" w:rsidRDefault="00BB600E">
      <w:pPr>
        <w:spacing w:line="360" w:lineRule="auto"/>
        <w:jc w:val="both"/>
        <w:rPr>
          <w:rFonts w:ascii="Arial" w:eastAsia="Arial" w:hAnsi="Arial" w:cs="Arial"/>
          <w:color w:val="FF0000"/>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B=</m:t>
          </m:r>
          <m:f>
            <m:fPr>
              <m:ctrlPr>
                <w:rPr>
                  <w:rFonts w:ascii="Cambria Math" w:eastAsia="Cambria Math" w:hAnsi="Cambria Math" w:cs="Cambria Math"/>
                </w:rPr>
              </m:ctrlPr>
            </m:fPr>
            <m:num>
              <m:r>
                <w:rPr>
                  <w:rFonts w:ascii="Cambria Math" w:eastAsia="Cambria Math" w:hAnsi="Cambria Math" w:cs="Cambria Math"/>
                </w:rPr>
                <m:t>Y*(1-p)</m:t>
              </m:r>
            </m:num>
            <m:den>
              <m:r>
                <w:rPr>
                  <w:rFonts w:ascii="Cambria Math" w:eastAsia="Cambria Math" w:hAnsi="Cambria Math" w:cs="Cambria Math"/>
                </w:rPr>
                <m:t>p</m:t>
              </m:r>
            </m:den>
          </m:f>
        </m:oMath>
      </m:oMathPara>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Y=</m:t>
          </m:r>
          <m:nary>
            <m:naryPr>
              <m:chr m:val="∑"/>
              <m:ctrlPr>
                <w:rPr>
                  <w:rFonts w:ascii="Cambria Math" w:eastAsia="Cambria Math" w:hAnsi="Cambria Math" w:cs="Cambria Math"/>
                  <w:color w:val="000000"/>
                </w:rPr>
              </m:ctrlPr>
            </m:naryPr>
            <m:sub/>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1</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2,</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3</m:t>
              </m:r>
            </m:sub>
          </m:sSub>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Dónde: </w:t>
      </w:r>
    </w:p>
    <w:p w:rsidR="00BB600E" w:rsidRDefault="00B277E4">
      <w:pPr>
        <w:spacing w:line="360" w:lineRule="auto"/>
        <w:jc w:val="both"/>
        <w:rPr>
          <w:rFonts w:ascii="Arial" w:eastAsia="Arial" w:hAnsi="Arial" w:cs="Arial"/>
          <w:color w:val="000000"/>
        </w:rPr>
      </w:pPr>
      <w:r>
        <w:rPr>
          <w:rFonts w:ascii="Arial" w:eastAsia="Arial" w:hAnsi="Arial" w:cs="Arial"/>
          <w:color w:val="000000"/>
        </w:rPr>
        <w:t>Y: ingreso o percepción económica (costo evitado)</w:t>
      </w: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B: beneficio ilícito que debe cobrarse vía multa </w:t>
      </w:r>
    </w:p>
    <w:p w:rsidR="00BB600E" w:rsidRDefault="00B277E4">
      <w:pPr>
        <w:spacing w:line="360" w:lineRule="auto"/>
        <w:jc w:val="both"/>
        <w:rPr>
          <w:rFonts w:ascii="Arial" w:eastAsia="Arial" w:hAnsi="Arial" w:cs="Arial"/>
          <w:color w:val="000000"/>
        </w:rPr>
      </w:pPr>
      <w:r>
        <w:rPr>
          <w:rFonts w:ascii="Arial" w:eastAsia="Arial" w:hAnsi="Arial" w:cs="Arial"/>
          <w:color w:val="000000"/>
        </w:rPr>
        <w:t>p: capacidad de detección de la conducta</w:t>
      </w:r>
    </w:p>
    <w:p w:rsidR="00BB600E" w:rsidRDefault="00B277E4">
      <w:pPr>
        <w:spacing w:line="360" w:lineRule="auto"/>
        <w:jc w:val="both"/>
        <w:rPr>
          <w:rFonts w:ascii="Arial" w:eastAsia="Arial" w:hAnsi="Arial" w:cs="Arial"/>
          <w:b/>
          <w:color w:val="000000"/>
          <w:u w:val="single"/>
        </w:rPr>
      </w:pPr>
      <w:r>
        <w:rPr>
          <w:rFonts w:ascii="Arial" w:eastAsia="Arial" w:hAnsi="Arial" w:cs="Arial"/>
          <w:color w:val="000000"/>
        </w:rPr>
        <w:tab/>
      </w: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Ingresos directos (Y1)</w:t>
      </w:r>
    </w:p>
    <w:p w:rsidR="00BB600E" w:rsidRDefault="00BB600E">
      <w:pPr>
        <w:spacing w:line="360" w:lineRule="auto"/>
        <w:jc w:val="both"/>
        <w:rPr>
          <w:rFonts w:ascii="Arial" w:eastAsia="Arial" w:hAnsi="Arial" w:cs="Arial"/>
          <w:b/>
          <w:color w:val="000000"/>
          <w:u w:val="single"/>
        </w:rPr>
      </w:pPr>
    </w:p>
    <w:p w:rsidR="00BB600E" w:rsidRDefault="00B277E4">
      <w:pPr>
        <w:tabs>
          <w:tab w:val="left" w:pos="0"/>
        </w:tabs>
        <w:spacing w:line="360" w:lineRule="auto"/>
        <w:jc w:val="both"/>
        <w:rPr>
          <w:rFonts w:ascii="Arial" w:eastAsia="Arial" w:hAnsi="Arial" w:cs="Arial"/>
          <w:i/>
        </w:rPr>
      </w:pPr>
      <w:r>
        <w:rPr>
          <w:rFonts w:ascii="Arial" w:eastAsia="Arial" w:hAnsi="Arial" w:cs="Arial"/>
          <w:i/>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w:t>
      </w:r>
    </w:p>
    <w:p w:rsidR="00BB600E" w:rsidRDefault="00BB600E">
      <w:pPr>
        <w:spacing w:line="360" w:lineRule="auto"/>
        <w:jc w:val="both"/>
        <w:rPr>
          <w:rFonts w:ascii="Arial" w:eastAsia="Arial" w:hAnsi="Arial" w:cs="Arial"/>
          <w:i/>
        </w:rPr>
      </w:pPr>
    </w:p>
    <w:p w:rsidR="00BB600E" w:rsidRDefault="00E93FBE">
      <w:pPr>
        <w:spacing w:line="360" w:lineRule="auto"/>
        <w:jc w:val="both"/>
        <w:rPr>
          <w:rFonts w:ascii="Arial" w:eastAsia="Arial" w:hAnsi="Arial" w:cs="Arial"/>
          <w:b/>
        </w:rPr>
      </w:pPr>
      <w:r>
        <w:rPr>
          <w:rFonts w:ascii="Arial" w:eastAsia="Arial" w:hAnsi="Arial" w:cs="Arial"/>
          <w:b/>
        </w:rPr>
        <w:t xml:space="preserve">Cargos primero, </w:t>
      </w:r>
      <w:r w:rsidR="00B277E4">
        <w:rPr>
          <w:rFonts w:ascii="Arial" w:eastAsia="Arial" w:hAnsi="Arial" w:cs="Arial"/>
          <w:b/>
        </w:rPr>
        <w:t>segundo</w:t>
      </w:r>
      <w:r>
        <w:rPr>
          <w:rFonts w:ascii="Arial" w:eastAsia="Arial" w:hAnsi="Arial" w:cs="Arial"/>
          <w:b/>
        </w:rPr>
        <w:t xml:space="preserve"> y tercero</w:t>
      </w:r>
    </w:p>
    <w:p w:rsidR="00BB600E" w:rsidRDefault="00B277E4">
      <w:pPr>
        <w:spacing w:line="360" w:lineRule="auto"/>
        <w:jc w:val="both"/>
        <w:rPr>
          <w:rFonts w:ascii="Arial" w:eastAsia="Arial" w:hAnsi="Arial" w:cs="Arial"/>
          <w:color w:val="FF0000"/>
        </w:rPr>
      </w:pPr>
      <w:r>
        <w:rPr>
          <w:rFonts w:ascii="Arial" w:eastAsia="Arial" w:hAnsi="Arial" w:cs="Arial"/>
        </w:rPr>
        <w:t>Revisados los hechos que dieron origen a los cargos formulados y que hace parte del presente proceso sancionatorio, no se identificó la explotación ilícita de un recurso o bien de protección ambiental. El presunto infractor no generó de manera directa un ingreso fruto de la infracción a la normativa ambiental.</w:t>
      </w:r>
    </w:p>
    <w:p w:rsidR="00BB600E" w:rsidRDefault="00B277E4">
      <w:pPr>
        <w:spacing w:line="360" w:lineRule="auto"/>
        <w:jc w:val="center"/>
        <w:rPr>
          <w:rFonts w:ascii="Arial" w:eastAsia="Arial" w:hAnsi="Arial" w:cs="Arial"/>
        </w:rPr>
      </w:pPr>
      <w:r>
        <w:rPr>
          <w:rFonts w:ascii="Arial" w:eastAsia="Arial" w:hAnsi="Arial" w:cs="Arial"/>
        </w:rPr>
        <w:lastRenderedPageBreak/>
        <w:t>y1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Costos evitados (y2)</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p>
    <w:p w:rsidR="00BB600E" w:rsidRDefault="00BB600E">
      <w:pPr>
        <w:spacing w:line="360" w:lineRule="auto"/>
        <w:jc w:val="both"/>
        <w:rPr>
          <w:rFonts w:ascii="Arial" w:eastAsia="Arial" w:hAnsi="Arial" w:cs="Arial"/>
          <w:i/>
          <w:color w:val="2F5496"/>
        </w:rPr>
      </w:pPr>
    </w:p>
    <w:p w:rsidR="00E93FBE" w:rsidRDefault="00E93FBE" w:rsidP="00E93FBE">
      <w:pPr>
        <w:spacing w:line="360" w:lineRule="auto"/>
        <w:jc w:val="both"/>
        <w:rPr>
          <w:rFonts w:ascii="Arial" w:eastAsia="Arial" w:hAnsi="Arial" w:cs="Arial"/>
          <w:b/>
        </w:rPr>
      </w:pPr>
      <w:r>
        <w:rPr>
          <w:rFonts w:ascii="Arial" w:eastAsia="Arial" w:hAnsi="Arial" w:cs="Arial"/>
          <w:b/>
        </w:rPr>
        <w:t>Cargos primero, segundo y tercero</w:t>
      </w:r>
    </w:p>
    <w:p w:rsidR="00BB600E" w:rsidRDefault="00B277E4">
      <w:pPr>
        <w:spacing w:line="360" w:lineRule="auto"/>
        <w:jc w:val="both"/>
        <w:rPr>
          <w:rFonts w:ascii="Arial" w:eastAsia="Arial" w:hAnsi="Arial" w:cs="Arial"/>
          <w:color w:val="FF0000"/>
        </w:rPr>
      </w:pPr>
      <w:r>
        <w:rPr>
          <w:rFonts w:ascii="Arial" w:eastAsia="Arial" w:hAnsi="Arial" w:cs="Arial"/>
        </w:rPr>
        <w:t>El costo evitado se relaciona con las obras para el aislamiento acústico y la mitigación de emisiones sonoras, sin embargo, con la información que reposa en el expediente SDA-08-2014-1927, no es posible para esta Secretaría cuantificar con exactitud este valor, ya que estas obras dependen de las condiciones particulares de funcionamiento del lugar. Por lo anterior se considera esta variable en cero, y el provecho económico será considerado como agravante.</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rPr>
      </w:pPr>
      <w:r>
        <w:rPr>
          <w:rFonts w:ascii="Arial" w:eastAsia="Arial" w:hAnsi="Arial" w:cs="Arial"/>
        </w:rPr>
        <w:t>y2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Ahorros de retraso (y3)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rsidR="00BB600E" w:rsidRDefault="00BB600E">
      <w:pPr>
        <w:spacing w:line="360" w:lineRule="auto"/>
        <w:jc w:val="both"/>
        <w:rPr>
          <w:rFonts w:ascii="Arial" w:eastAsia="Arial" w:hAnsi="Arial" w:cs="Arial"/>
          <w:i/>
          <w:color w:val="000000"/>
        </w:rPr>
      </w:pPr>
    </w:p>
    <w:p w:rsidR="00E93FBE" w:rsidRDefault="00E93FBE" w:rsidP="00E93FBE">
      <w:pPr>
        <w:spacing w:line="360" w:lineRule="auto"/>
        <w:jc w:val="both"/>
        <w:rPr>
          <w:rFonts w:ascii="Arial" w:eastAsia="Arial" w:hAnsi="Arial" w:cs="Arial"/>
          <w:b/>
        </w:rPr>
      </w:pPr>
      <w:r>
        <w:rPr>
          <w:rFonts w:ascii="Arial" w:eastAsia="Arial" w:hAnsi="Arial" w:cs="Arial"/>
          <w:b/>
        </w:rPr>
        <w:lastRenderedPageBreak/>
        <w:t>Cargos primero, segundo y tercero</w:t>
      </w:r>
    </w:p>
    <w:p w:rsidR="00BB600E" w:rsidRDefault="00B277E4">
      <w:pPr>
        <w:spacing w:line="360" w:lineRule="auto"/>
        <w:jc w:val="both"/>
        <w:rPr>
          <w:rFonts w:ascii="Arial" w:eastAsia="Arial" w:hAnsi="Arial" w:cs="Arial"/>
        </w:rPr>
      </w:pPr>
      <w:r>
        <w:rPr>
          <w:rFonts w:ascii="Arial" w:eastAsia="Arial" w:hAnsi="Arial" w:cs="Arial"/>
        </w:rPr>
        <w:t>Dentro del expediente no reposa prueba alguna que demuestre que el presunto infractor haya realizado inversiones posteriores tendientes al cumplimiento de la norma ambiental, esta variable es considerada en cero.</w:t>
      </w:r>
    </w:p>
    <w:p w:rsidR="00BB600E" w:rsidRDefault="00B277E4">
      <w:pPr>
        <w:spacing w:line="360" w:lineRule="auto"/>
        <w:jc w:val="center"/>
        <w:rPr>
          <w:rFonts w:ascii="Arial" w:eastAsia="Arial" w:hAnsi="Arial" w:cs="Arial"/>
        </w:rPr>
      </w:pPr>
      <w:r>
        <w:rPr>
          <w:rFonts w:ascii="Arial" w:eastAsia="Arial" w:hAnsi="Arial" w:cs="Arial"/>
        </w:rPr>
        <w:t>y3 = 0</w:t>
      </w:r>
    </w:p>
    <w:p w:rsidR="00BB600E" w:rsidRDefault="00BB600E">
      <w:pPr>
        <w:spacing w:line="360" w:lineRule="auto"/>
        <w:jc w:val="both"/>
        <w:rPr>
          <w:rFonts w:ascii="Arial" w:eastAsia="Arial" w:hAnsi="Arial" w:cs="Arial"/>
          <w:color w:val="000000"/>
        </w:rPr>
      </w:pP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Capacidad de detección de la conducta (p)</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 la posibilidad de que la autoridad ambiental detecte la ocurrencia de una infracción ambiental.”</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han determinado los siguientes valores para establecer la capacidad de detección de le Autoridad Ambiental:</w:t>
      </w:r>
    </w:p>
    <w:p w:rsidR="00BB600E" w:rsidRDefault="00BB600E">
      <w:pPr>
        <w:spacing w:line="360" w:lineRule="auto"/>
        <w:jc w:val="both"/>
        <w:rPr>
          <w:rFonts w:ascii="Arial" w:eastAsia="Arial" w:hAnsi="Arial" w:cs="Arial"/>
          <w:color w:val="000000"/>
        </w:rPr>
      </w:pP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baja: p = 0.40</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media: p = 0.45</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alta: p</w:t>
      </w:r>
      <w:r w:rsidR="00E93FBE">
        <w:rPr>
          <w:rFonts w:ascii="Arial" w:eastAsia="Arial" w:hAnsi="Arial" w:cs="Arial"/>
          <w:color w:val="000000"/>
        </w:rPr>
        <w:t xml:space="preserve"> </w:t>
      </w:r>
      <w:r>
        <w:rPr>
          <w:rFonts w:ascii="Arial" w:eastAsia="Arial" w:hAnsi="Arial" w:cs="Arial"/>
          <w:color w:val="000000"/>
        </w:rPr>
        <w:t>=</w:t>
      </w:r>
      <w:r w:rsidR="00E93FBE">
        <w:rPr>
          <w:rFonts w:ascii="Arial" w:eastAsia="Arial" w:hAnsi="Arial" w:cs="Arial"/>
          <w:color w:val="000000"/>
        </w:rPr>
        <w:t xml:space="preserve"> </w:t>
      </w:r>
      <w:r>
        <w:rPr>
          <w:rFonts w:ascii="Arial" w:eastAsia="Arial" w:hAnsi="Arial" w:cs="Arial"/>
          <w:color w:val="000000"/>
        </w:rPr>
        <w:t>0.50</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Como se mencionó con antelación, existe un beneficio ilícito relacionado con los costos evitados y como quiera que este no pudo ser calculado, se considera como $0 y se aplica la octava circunstancia de agravación conforme lo señala el artículo 9 de la Resolución 2086 de 2010 del MAVDT.  </w:t>
      </w:r>
    </w:p>
    <w:p w:rsidR="00BB600E" w:rsidRPr="00A8598B" w:rsidRDefault="00B277E4" w:rsidP="00A8598B">
      <w:pPr>
        <w:spacing w:line="360" w:lineRule="auto"/>
        <w:jc w:val="center"/>
        <w:rPr>
          <w:rFonts w:ascii="Arial" w:eastAsia="Arial" w:hAnsi="Arial" w:cs="Arial"/>
          <w:b/>
          <w:color w:val="FF0000"/>
        </w:rPr>
      </w:pPr>
      <w:r>
        <w:rPr>
          <w:rFonts w:ascii="Arial" w:eastAsia="Arial" w:hAnsi="Arial" w:cs="Arial"/>
          <w:b/>
          <w:color w:val="000000"/>
        </w:rPr>
        <w:t>B = $0</w:t>
      </w:r>
    </w:p>
    <w:p w:rsidR="00BB600E" w:rsidRDefault="00BB600E">
      <w:pPr>
        <w:spacing w:line="360" w:lineRule="auto"/>
        <w:jc w:val="both"/>
        <w:rPr>
          <w:rFonts w:ascii="Arial" w:eastAsia="Arial" w:hAnsi="Arial" w:cs="Arial"/>
          <w:b/>
          <w:color w:val="00000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TEMPORALIDAD (α)</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lastRenderedPageBreak/>
        <w:t>Es el factor que considera la duración de la infracción ambiental, identificando si ésta se presenta de manera instantánea o continua en el tiempo.</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Este valor se encuentra acotado entre 1 y 4, en donde 1 representa una actuación instantánea y 4 una acción sucesiva de 365 días o más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rPr>
        <w:t xml:space="preserve">La variable alfa (α) se calcula aplicando la siguiente relación: </w:t>
      </w:r>
    </w:p>
    <w:p w:rsidR="00BB600E" w:rsidRDefault="00BB600E">
      <w:pPr>
        <w:spacing w:line="360" w:lineRule="auto"/>
        <w:jc w:val="both"/>
        <w:rPr>
          <w:rFonts w:ascii="Arial" w:eastAsia="Arial" w:hAnsi="Arial" w:cs="Arial"/>
          <w:color w:val="000000"/>
        </w:rPr>
      </w:pPr>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α  =</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r>
                <w:rPr>
                  <w:rFonts w:ascii="Cambria Math" w:eastAsia="Cambria Math" w:hAnsi="Cambria Math" w:cs="Cambria Math"/>
                  <w:color w:val="000000"/>
                </w:rPr>
                <m:t>×d</m:t>
              </m:r>
            </m:e>
          </m:d>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 xml:space="preserve">1- </m:t>
              </m:r>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e>
          </m:d>
        </m:oMath>
      </m:oMathPara>
    </w:p>
    <w:p w:rsidR="00BB600E" w:rsidRDefault="00BB600E">
      <w:pPr>
        <w:spacing w:line="360" w:lineRule="auto"/>
        <w:jc w:val="both"/>
        <w:rPr>
          <w:rFonts w:ascii="Arial" w:eastAsia="Arial" w:hAnsi="Arial" w:cs="Arial"/>
          <w:color w:val="000000"/>
        </w:rPr>
      </w:pPr>
    </w:p>
    <w:p w:rsidR="00E93FBE" w:rsidRDefault="00E93FBE" w:rsidP="00E93FBE">
      <w:pPr>
        <w:spacing w:line="360" w:lineRule="auto"/>
        <w:jc w:val="both"/>
        <w:rPr>
          <w:rFonts w:ascii="Arial" w:eastAsia="Arial" w:hAnsi="Arial" w:cs="Arial"/>
          <w:b/>
        </w:rPr>
      </w:pPr>
      <w:r>
        <w:rPr>
          <w:rFonts w:ascii="Arial" w:eastAsia="Arial" w:hAnsi="Arial" w:cs="Arial"/>
          <w:b/>
        </w:rPr>
        <w:t>Cargos primero, segundo y tercero</w:t>
      </w:r>
    </w:p>
    <w:p w:rsidR="00BB600E" w:rsidRDefault="00B277E4">
      <w:pPr>
        <w:spacing w:line="360" w:lineRule="auto"/>
        <w:jc w:val="both"/>
        <w:rPr>
          <w:rFonts w:ascii="Arial" w:eastAsia="Arial" w:hAnsi="Arial" w:cs="Arial"/>
          <w:color w:val="000000"/>
        </w:rPr>
      </w:pPr>
      <w:r>
        <w:rPr>
          <w:rFonts w:ascii="Arial" w:eastAsia="Arial" w:hAnsi="Arial" w:cs="Arial"/>
          <w:color w:val="000000"/>
        </w:rPr>
        <w:t>Teniendo en cuenta que las infracciones fueron detectadas el día 26/10/2013 y que no se tiene evidencia de su continuidad, se considera una actuación instantánea.</w:t>
      </w:r>
    </w:p>
    <w:p w:rsidR="00BB600E" w:rsidRDefault="00BB600E">
      <w:pPr>
        <w:spacing w:line="360" w:lineRule="auto"/>
        <w:rPr>
          <w:rFonts w:ascii="Arial" w:eastAsia="Arial" w:hAnsi="Arial" w:cs="Arial"/>
          <w:color w:val="000000"/>
        </w:rPr>
      </w:pPr>
    </w:p>
    <w:p w:rsidR="00BB600E" w:rsidRDefault="00B277E4">
      <w:pPr>
        <w:spacing w:line="360" w:lineRule="auto"/>
        <w:jc w:val="center"/>
        <w:rPr>
          <w:rFonts w:ascii="Arial" w:eastAsia="Arial" w:hAnsi="Arial" w:cs="Arial"/>
          <w:color w:val="000000"/>
        </w:rPr>
      </w:pPr>
      <w:r>
        <w:rPr>
          <w:rFonts w:ascii="Arial" w:eastAsia="Arial" w:hAnsi="Arial" w:cs="Arial"/>
          <w:color w:val="000000"/>
        </w:rPr>
        <w:t>α = 1</w:t>
      </w:r>
    </w:p>
    <w:p w:rsidR="00BB600E" w:rsidRDefault="00BB600E">
      <w:pPr>
        <w:spacing w:line="360" w:lineRule="auto"/>
        <w:rPr>
          <w:rFonts w:ascii="Arial" w:eastAsia="Arial" w:hAnsi="Arial" w:cs="Arial"/>
          <w:color w:val="000000"/>
        </w:rPr>
      </w:pPr>
    </w:p>
    <w:p w:rsidR="00104354" w:rsidRPr="00104354" w:rsidRDefault="00104354" w:rsidP="00104354">
      <w:pPr>
        <w:pStyle w:val="NormalWeb"/>
        <w:numPr>
          <w:ilvl w:val="1"/>
          <w:numId w:val="2"/>
        </w:numPr>
        <w:spacing w:before="0" w:beforeAutospacing="0" w:after="200" w:afterAutospacing="0" w:line="360" w:lineRule="auto"/>
        <w:jc w:val="both"/>
        <w:textAlignment w:val="baseline"/>
        <w:rPr>
          <w:rFonts w:ascii="Arial" w:hAnsi="Arial" w:cs="Arial"/>
          <w:b/>
          <w:bCs/>
          <w:color w:val="000000"/>
          <w:szCs w:val="22"/>
        </w:rPr>
      </w:pPr>
      <w:bookmarkStart w:id="8" w:name="_heading=h.tyjcwt" w:colFirst="0" w:colLast="0"/>
      <w:bookmarkEnd w:id="8"/>
      <w:r>
        <w:rPr>
          <w:rFonts w:ascii="Arial" w:hAnsi="Arial" w:cs="Arial"/>
          <w:b/>
          <w:bCs/>
          <w:color w:val="000000"/>
          <w:szCs w:val="22"/>
        </w:rPr>
        <w:t xml:space="preserve"> GRADO DE AFECTACIÓN AMBIENTAL Y/O EVALUACIÓN DEL RIESGO (R)</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De acuerdo con la comunicación ANLA 4120-E2-2987 de 23 de julio de 2014, se indicó.</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 En el marco de las infracciones ambientales se presentan tres escenarios: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lastRenderedPageBreak/>
        <w:t>1. Infracciones que originaron afectación ambiental</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2. Infracciones que no se concretaron en afectaciones ambientales, pero expusieron o pusieron en riesgo algún o algunos bienes de protección ambientales.</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3. Meras infracciones ambientales —Solo son incumplimientos ambientales, que no repercuten en bienes de protección ambientales.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Los dos primeros escenarios se encuentran establecidos en la resolución 2086 de 2010 y desarrollados en el Manual Conceptual Manual Conceptual y Procedimental de la Metodología para el Cálculo de Multas por Infracción a la Normatividad Ambiental. (...)” </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w:t>
      </w:r>
      <w:r w:rsidRPr="00104354">
        <w:rPr>
          <w:rFonts w:ascii="Arial" w:hAnsi="Arial" w:cs="Arial"/>
          <w:color w:val="000000"/>
          <w:szCs w:val="22"/>
        </w:rPr>
        <w:lastRenderedPageBreak/>
        <w:t>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“Es importante tener en cuenta que en el caso en que la infracción no genere potencialmente ningún tipo de impacto, el riesgo tomará valores entre 1 y 3, según la GRAVEDAD del incumplimiento a la norma, es decir, 1≤r≤3 (...)”. </w:t>
      </w:r>
    </w:p>
    <w:p w:rsidR="00104354" w:rsidRPr="00104354" w:rsidRDefault="00104354" w:rsidP="00104354">
      <w:pPr>
        <w:spacing w:after="240"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ese sentido y de acuerdo con el concepto técnico No. 0915</w:t>
      </w:r>
      <w:r w:rsidR="00E93FBE">
        <w:rPr>
          <w:rFonts w:ascii="Arial" w:hAnsi="Arial" w:cs="Arial"/>
          <w:color w:val="000000"/>
          <w:szCs w:val="22"/>
        </w:rPr>
        <w:t xml:space="preserve">2 del 28 de noviembre del 2013 </w:t>
      </w:r>
      <w:r w:rsidRPr="00104354">
        <w:rPr>
          <w:rFonts w:ascii="Arial" w:hAnsi="Arial" w:cs="Arial"/>
          <w:color w:val="000000"/>
          <w:szCs w:val="22"/>
        </w:rPr>
        <w:t>se estableció que como resultado de la evaluación el nivel equivalente del aporte sonoro de las fuentes específicas (Leqemisión), es de 71,9 dB(A), por lo que se establece un incumplimiento con los niveles máximos permisibles aceptados por la normatividad ambiental vigente. </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 xml:space="preserve">Así las cosas, de acuerdo a lo establecido en la comunicación ANLA para determinar la lesividad de la infracción, para este caso en específico se revisa la Unidad de Contaminación por Ruido (UCR) del establecimiento, donde se clasifica como un Aporte Contaminante </w:t>
      </w:r>
      <w:r w:rsidRPr="00E93FBE">
        <w:rPr>
          <w:rFonts w:ascii="Arial" w:hAnsi="Arial" w:cs="Arial"/>
          <w:b/>
          <w:color w:val="000000"/>
          <w:szCs w:val="22"/>
        </w:rPr>
        <w:t>MUY ALTO</w:t>
      </w:r>
      <w:r w:rsidRPr="00104354">
        <w:rPr>
          <w:rFonts w:ascii="Arial" w:hAnsi="Arial" w:cs="Arial"/>
          <w:color w:val="000000"/>
          <w:szCs w:val="22"/>
        </w:rPr>
        <w:t>.</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Por lo tanto, se establece así:</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 1 cuando el aporte contaminante sea bajo o medio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r=2 cuando el aporte contaminante sea alto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r=3 cuando el aporte contaminante sea muy alto</w:t>
      </w:r>
    </w:p>
    <w:p w:rsidR="00104354" w:rsidRPr="00104354" w:rsidRDefault="00104354" w:rsidP="00104354">
      <w:pPr>
        <w:spacing w:line="360" w:lineRule="auto"/>
        <w:jc w:val="center"/>
        <w:rPr>
          <w:rFonts w:ascii="Arial" w:hAnsi="Arial" w:cs="Arial"/>
          <w:sz w:val="28"/>
        </w:rPr>
      </w:pPr>
    </w:p>
    <w:p w:rsidR="00104354" w:rsidRPr="00104354" w:rsidRDefault="00104354" w:rsidP="00104354">
      <w:pPr>
        <w:pStyle w:val="NormalWeb"/>
        <w:spacing w:before="0" w:beforeAutospacing="0" w:after="0" w:afterAutospacing="0" w:line="360" w:lineRule="auto"/>
        <w:jc w:val="center"/>
        <w:rPr>
          <w:rFonts w:ascii="Arial" w:hAnsi="Arial" w:cs="Arial"/>
          <w:b/>
          <w:i/>
          <w:sz w:val="28"/>
        </w:rPr>
      </w:pPr>
      <w:r w:rsidRPr="00104354">
        <w:rPr>
          <w:rFonts w:ascii="Arial" w:hAnsi="Arial" w:cs="Arial"/>
          <w:b/>
          <w:i/>
          <w:color w:val="000000"/>
          <w:szCs w:val="22"/>
        </w:rPr>
        <w:t>r = 3</w:t>
      </w:r>
    </w:p>
    <w:p w:rsidR="00BB600E" w:rsidRDefault="00BB600E">
      <w:pPr>
        <w:spacing w:line="360" w:lineRule="auto"/>
        <w:jc w:val="center"/>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Obtenido el valor de riesgo, se debe determinar el valor monetario del mismo, a partir de la siguiente ecuación: </w:t>
      </w:r>
    </w:p>
    <w:p w:rsidR="00BB600E" w:rsidRDefault="00BB600E">
      <w:pPr>
        <w:spacing w:line="360" w:lineRule="auto"/>
        <w:jc w:val="center"/>
        <w:rPr>
          <w:rFonts w:ascii="Arial" w:eastAsia="Arial" w:hAnsi="Arial" w:cs="Arial"/>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R=</m:t>
          </m:r>
          <m:d>
            <m:dPr>
              <m:ctrlPr>
                <w:rPr>
                  <w:rFonts w:ascii="Cambria Math" w:eastAsia="Cambria Math" w:hAnsi="Cambria Math" w:cs="Cambria Math"/>
                </w:rPr>
              </m:ctrlPr>
            </m:dPr>
            <m:e>
              <m:r>
                <w:rPr>
                  <w:rFonts w:ascii="Cambria Math" w:eastAsia="Cambria Math" w:hAnsi="Cambria Math" w:cs="Cambria Math"/>
                </w:rPr>
                <m:t>11,03 x SMMLV</m:t>
              </m:r>
            </m:e>
          </m:d>
          <m:r>
            <w:rPr>
              <w:rFonts w:ascii="Cambria Math" w:eastAsia="Cambria Math" w:hAnsi="Cambria Math" w:cs="Cambria Math"/>
            </w:rPr>
            <m:t xml:space="preserve"> r</m:t>
          </m:r>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Donde:</w:t>
      </w:r>
    </w:p>
    <w:p w:rsidR="00BB600E" w:rsidRDefault="00B277E4">
      <w:pPr>
        <w:spacing w:line="360" w:lineRule="auto"/>
        <w:jc w:val="both"/>
        <w:rPr>
          <w:rFonts w:ascii="Arial" w:eastAsia="Arial" w:hAnsi="Arial" w:cs="Arial"/>
        </w:rPr>
      </w:pPr>
      <w:r>
        <w:rPr>
          <w:rFonts w:ascii="Arial" w:eastAsia="Arial" w:hAnsi="Arial" w:cs="Arial"/>
        </w:rPr>
        <w:t>R = Valor monetaria de la importancia del riesgo</w:t>
      </w:r>
    </w:p>
    <w:p w:rsidR="00BB600E" w:rsidRDefault="00B277E4">
      <w:pPr>
        <w:spacing w:line="360" w:lineRule="auto"/>
        <w:jc w:val="both"/>
        <w:rPr>
          <w:rFonts w:ascii="Arial" w:eastAsia="Arial" w:hAnsi="Arial" w:cs="Arial"/>
        </w:rPr>
      </w:pPr>
      <w:r>
        <w:rPr>
          <w:rFonts w:ascii="Arial" w:eastAsia="Arial" w:hAnsi="Arial" w:cs="Arial"/>
        </w:rPr>
        <w:t xml:space="preserve">SMMLV = Salario mínimo mensual legal vigente </w:t>
      </w:r>
    </w:p>
    <w:p w:rsidR="00BB600E" w:rsidRDefault="00B277E4">
      <w:pPr>
        <w:spacing w:line="360" w:lineRule="auto"/>
        <w:jc w:val="both"/>
        <w:rPr>
          <w:rFonts w:ascii="Arial" w:eastAsia="Arial" w:hAnsi="Arial" w:cs="Arial"/>
        </w:rPr>
      </w:pPr>
      <w:r>
        <w:rPr>
          <w:rFonts w:ascii="Arial" w:eastAsia="Arial" w:hAnsi="Arial" w:cs="Arial"/>
        </w:rPr>
        <w:t>r = Riesgo</w:t>
      </w:r>
    </w:p>
    <w:p w:rsidR="00BB600E" w:rsidRDefault="00B277E4">
      <w:pPr>
        <w:spacing w:line="360" w:lineRule="auto"/>
        <w:jc w:val="both"/>
        <w:rPr>
          <w:rFonts w:ascii="Arial" w:eastAsia="Arial" w:hAnsi="Arial" w:cs="Arial"/>
        </w:rPr>
      </w:pPr>
      <w:r>
        <w:rPr>
          <w:rFonts w:ascii="Arial" w:eastAsia="Arial" w:hAnsi="Arial" w:cs="Arial"/>
        </w:rPr>
        <w:t>Se procede a calcular el valor monetario de la importancia del riesgo, teniendo en cuenta que el SMMLV es de $ 1.300.000 al 2024 según la página oficial del Ministerio de Trabajo.</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color w:val="FF0000"/>
          <w:sz w:val="22"/>
          <w:szCs w:val="22"/>
        </w:rPr>
      </w:pPr>
      <w:r>
        <w:rPr>
          <w:rFonts w:ascii="Arial" w:eastAsia="Arial" w:hAnsi="Arial" w:cs="Arial"/>
        </w:rPr>
        <w:t>R = 11,03 x $1.300.000 x 3</w:t>
      </w:r>
    </w:p>
    <w:p w:rsidR="00BB600E" w:rsidRDefault="00BB600E">
      <w:pPr>
        <w:spacing w:line="360" w:lineRule="auto"/>
        <w:jc w:val="center"/>
        <w:rPr>
          <w:rFonts w:ascii="Arial" w:eastAsia="Arial" w:hAnsi="Arial" w:cs="Arial"/>
          <w:color w:val="FF0000"/>
          <w:sz w:val="22"/>
          <w:szCs w:val="22"/>
        </w:rPr>
      </w:pPr>
    </w:p>
    <w:p w:rsidR="00BB600E" w:rsidRPr="00E93FBE" w:rsidRDefault="00B277E4" w:rsidP="00A8598B">
      <w:pPr>
        <w:spacing w:line="360" w:lineRule="auto"/>
        <w:jc w:val="center"/>
        <w:rPr>
          <w:rFonts w:ascii="Arial" w:eastAsia="Arial" w:hAnsi="Arial" w:cs="Arial"/>
          <w:b/>
          <w:color w:val="000000" w:themeColor="text1"/>
          <w:szCs w:val="22"/>
        </w:rPr>
      </w:pPr>
      <w:r w:rsidRPr="00E93FBE">
        <w:rPr>
          <w:rFonts w:ascii="Arial" w:eastAsia="Arial" w:hAnsi="Arial" w:cs="Arial"/>
          <w:b/>
          <w:color w:val="000000" w:themeColor="text1"/>
          <w:szCs w:val="22"/>
        </w:rPr>
        <w:t>R = 43.017.000</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b w:val="0"/>
          <w:sz w:val="24"/>
          <w:szCs w:val="24"/>
        </w:rPr>
      </w:pPr>
      <w:r>
        <w:rPr>
          <w:rFonts w:eastAsia="Arial" w:cs="Arial"/>
          <w:sz w:val="24"/>
          <w:szCs w:val="24"/>
        </w:rPr>
        <w:t>CIRCUNSTANCIAS AGRAVANTES Y ATENUANTES (A)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2F5496"/>
        </w:rPr>
      </w:pPr>
      <w:r>
        <w:rPr>
          <w:rFonts w:ascii="Arial" w:eastAsia="Arial" w:hAnsi="Arial" w:cs="Arial"/>
          <w:color w:val="000000"/>
        </w:rPr>
        <w:lastRenderedPageBreak/>
        <w:t xml:space="preserve">Para el presente caso, se determinan las siguientes circunstancias agravantes y atenuantes. </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7. Circunstancias agravantes y atenuantes</w:t>
      </w:r>
    </w:p>
    <w:tbl>
      <w:tblPr>
        <w:tblStyle w:val="a7"/>
        <w:tblW w:w="8533" w:type="dxa"/>
        <w:tblInd w:w="534" w:type="dxa"/>
        <w:tblLayout w:type="fixed"/>
        <w:tblLook w:val="0400" w:firstRow="0" w:lastRow="0" w:firstColumn="0" w:lastColumn="0" w:noHBand="0" w:noVBand="1"/>
      </w:tblPr>
      <w:tblGrid>
        <w:gridCol w:w="3575"/>
        <w:gridCol w:w="3518"/>
        <w:gridCol w:w="1440"/>
      </w:tblGrid>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Obtener provecho económico para si o para un tercero</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Como se mencionó anteriormente existe un beneficio ilícito relacionado con los costos evitados el cual no pudo ser calculado. En consecuencia, se debe aplicar esta circunstancia de agravación, tal como lo establece la Metodología para el Cálculo de Multas por Infracción a la Normativa Ambienta</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sz w:val="20"/>
                <w:szCs w:val="18"/>
              </w:rPr>
            </w:pPr>
            <w:r w:rsidRPr="00A8598B">
              <w:rPr>
                <w:rFonts w:ascii="Arial" w:eastAsia="Arial" w:hAnsi="Arial" w:cs="Arial"/>
                <w:sz w:val="20"/>
                <w:szCs w:val="18"/>
              </w:rPr>
              <w:t>0,2</w:t>
            </w:r>
          </w:p>
        </w:tc>
      </w:tr>
      <w:tr w:rsidR="00BB600E" w:rsidRPr="00A8598B">
        <w:tc>
          <w:tcPr>
            <w:tcW w:w="7093" w:type="dxa"/>
            <w:gridSpan w:val="2"/>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0,2</w:t>
            </w:r>
          </w:p>
        </w:tc>
      </w:tr>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rsidR="00BB600E" w:rsidRDefault="00BB600E">
      <w:pPr>
        <w:spacing w:line="360" w:lineRule="auto"/>
        <w:jc w:val="both"/>
        <w:rPr>
          <w:rFonts w:ascii="Arial" w:eastAsia="Arial" w:hAnsi="Arial" w:cs="Arial"/>
          <w:b/>
        </w:rPr>
      </w:pPr>
    </w:p>
    <w:p w:rsidR="00BB600E" w:rsidRDefault="00B277E4">
      <w:pPr>
        <w:spacing w:line="360" w:lineRule="auto"/>
        <w:jc w:val="center"/>
        <w:rPr>
          <w:rFonts w:ascii="Arial" w:eastAsia="Arial" w:hAnsi="Arial" w:cs="Arial"/>
          <w:b/>
          <w:color w:val="FF0000"/>
        </w:rPr>
      </w:pPr>
      <w:r>
        <w:rPr>
          <w:rFonts w:ascii="Arial" w:eastAsia="Arial" w:hAnsi="Arial" w:cs="Arial"/>
          <w:b/>
        </w:rPr>
        <w:t>A = 0,2</w:t>
      </w:r>
    </w:p>
    <w:p w:rsidR="00BB600E" w:rsidRDefault="00BB600E">
      <w:pPr>
        <w:spacing w:line="360" w:lineRule="auto"/>
        <w:rPr>
          <w:rFonts w:ascii="Arial" w:eastAsia="Arial" w:hAnsi="Arial" w:cs="Arial"/>
          <w:b/>
          <w:color w:val="2F5496"/>
          <w:sz w:val="22"/>
          <w:szCs w:val="22"/>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COSTOS ASOCIADOS (Ca)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La variable costos asociados, corresponde a aquellas erogaciones en las cuales incurre la autoridad ambiental durante el proceso sancionatorio y que son responsabilidad del infractor.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Para este caso y teniendo en cuenta que la Autoridad Ambiental no incurrió en costos adicionales a los de seguimiento y control propios de la Entidad, no se configuran costos asociados.</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lastRenderedPageBreak/>
        <w:t>Ca = 0</w:t>
      </w:r>
    </w:p>
    <w:p w:rsidR="00BB600E" w:rsidRDefault="00BB600E">
      <w:pPr>
        <w:spacing w:line="360" w:lineRule="auto"/>
        <w:rPr>
          <w:sz w:val="20"/>
          <w:szCs w:val="20"/>
        </w:rPr>
      </w:pP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CAPACIDAD SOCIOECONÓMICA DEL INFRACTOR (CS)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p>
    <w:p w:rsidR="00BB600E" w:rsidRDefault="00BB600E">
      <w:pPr>
        <w:spacing w:line="360" w:lineRule="auto"/>
        <w:jc w:val="both"/>
        <w:rPr>
          <w:rFonts w:ascii="Arial" w:eastAsia="Arial" w:hAnsi="Arial" w:cs="Arial"/>
          <w:color w:val="2F5496"/>
        </w:rPr>
      </w:pPr>
      <w:bookmarkStart w:id="9" w:name="_heading=h.1t3h5sf" w:colFirst="0" w:colLast="0"/>
      <w:bookmarkEnd w:id="9"/>
    </w:p>
    <w:p w:rsidR="00BB600E" w:rsidRDefault="00B277E4">
      <w:pPr>
        <w:spacing w:line="360" w:lineRule="auto"/>
        <w:jc w:val="both"/>
        <w:rPr>
          <w:rFonts w:ascii="Arial" w:eastAsia="Arial" w:hAnsi="Arial" w:cs="Arial"/>
          <w:color w:val="000000"/>
        </w:rPr>
      </w:pPr>
      <w:r>
        <w:rPr>
          <w:rFonts w:ascii="Arial" w:eastAsia="Arial" w:hAnsi="Arial" w:cs="Arial"/>
          <w:color w:val="000000"/>
        </w:rPr>
        <w:t>Una forma de establecer la capacidad socioeconómica del presunto infractor es la clasificación del estrato soc</w:t>
      </w:r>
      <w:r w:rsidR="00E93FBE">
        <w:rPr>
          <w:rFonts w:ascii="Arial" w:eastAsia="Arial" w:hAnsi="Arial" w:cs="Arial"/>
          <w:color w:val="000000"/>
        </w:rPr>
        <w:t>ioeconómico, que en el país varí</w:t>
      </w:r>
      <w:r>
        <w:rPr>
          <w:rFonts w:ascii="Arial" w:eastAsia="Arial" w:hAnsi="Arial" w:cs="Arial"/>
          <w:color w:val="000000"/>
        </w:rPr>
        <w:t xml:space="preserve">a de 1 a 6 y se puede realizar la consulta en el Sistema de Información de Norma Urbana y Plan de Ordenamiento Territorial – SINUPOT. </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rPr>
      </w:pPr>
      <w:r>
        <w:rPr>
          <w:rFonts w:ascii="Arial" w:eastAsia="Arial" w:hAnsi="Arial" w:cs="Arial"/>
          <w:color w:val="000000"/>
        </w:rPr>
        <w:t>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ubicado en CALLE 66 No. 73 A 74, tiene un estrato tres asignado, como se evidencia a continuación:</w:t>
      </w:r>
    </w:p>
    <w:p w:rsidR="00BB600E" w:rsidRDefault="00E93FBE" w:rsidP="00E93FBE">
      <w:pPr>
        <w:spacing w:line="360" w:lineRule="auto"/>
        <w:jc w:val="center"/>
      </w:pPr>
      <w:r w:rsidRPr="00E93FBE">
        <w:rPr>
          <w:rFonts w:ascii="Arial" w:eastAsia="Arial" w:hAnsi="Arial" w:cs="Arial"/>
          <w:color w:val="000000" w:themeColor="text1"/>
        </w:rPr>
        <w:lastRenderedPageBreak/>
        <w:drawing>
          <wp:inline distT="0" distB="0" distL="0" distR="0" wp14:anchorId="169E4E64" wp14:editId="523213F7">
            <wp:extent cx="4192226" cy="3352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5227" cy="3355200"/>
                    </a:xfrm>
                    <a:prstGeom prst="rect">
                      <a:avLst/>
                    </a:prstGeom>
                  </pic:spPr>
                </pic:pic>
              </a:graphicData>
            </a:graphic>
          </wp:inline>
        </w:drawing>
      </w:r>
    </w:p>
    <w:p w:rsidR="00E93FBE" w:rsidRDefault="00E93FBE" w:rsidP="00E93FBE">
      <w:pPr>
        <w:spacing w:line="360" w:lineRule="auto"/>
        <w:jc w:val="center"/>
        <w:rPr>
          <w:rFonts w:ascii="Arial" w:hAnsi="Arial" w:cs="Arial"/>
        </w:rPr>
      </w:pPr>
      <w:r w:rsidRPr="00E93FBE">
        <w:rPr>
          <w:rFonts w:ascii="Arial" w:hAnsi="Arial" w:cs="Arial"/>
        </w:rPr>
        <w:t>Fuente: SINUPOT</w:t>
      </w:r>
    </w:p>
    <w:p w:rsidR="00E93FBE" w:rsidRPr="00E93FBE" w:rsidRDefault="00E93FBE" w:rsidP="00E93FBE">
      <w:pPr>
        <w:spacing w:line="360" w:lineRule="auto"/>
        <w:jc w:val="center"/>
        <w:rPr>
          <w:rFonts w:ascii="Arial" w:hAnsi="Arial" w:cs="Arial"/>
        </w:rPr>
      </w:pPr>
    </w:p>
    <w:p w:rsidR="00BB600E" w:rsidRPr="00E93FBE" w:rsidRDefault="00B277E4" w:rsidP="00E93FBE">
      <w:pPr>
        <w:pBdr>
          <w:top w:val="nil"/>
          <w:left w:val="nil"/>
          <w:bottom w:val="nil"/>
          <w:right w:val="nil"/>
          <w:between w:val="nil"/>
        </w:pBdr>
        <w:spacing w:line="360" w:lineRule="auto"/>
        <w:jc w:val="both"/>
        <w:rPr>
          <w:rFonts w:ascii="Arial" w:eastAsia="Arial" w:hAnsi="Arial" w:cs="Arial"/>
          <w:color w:val="000000" w:themeColor="text1"/>
        </w:rPr>
      </w:pPr>
      <w:r w:rsidRPr="00E93FBE">
        <w:rPr>
          <w:rFonts w:ascii="Arial" w:eastAsia="Arial" w:hAnsi="Arial" w:cs="Arial"/>
          <w:color w:val="000000" w:themeColor="text1"/>
        </w:rPr>
        <w:t>En ese sentido, y teniendo en cuenta lo establecido en el artículo 10 numeral 1 de la Resolución 2086 del 2010, la capacidad socioeconómica del presunto infractor corresponde a 0,03</w:t>
      </w:r>
      <w:r w:rsidR="00E93FBE">
        <w:rPr>
          <w:rFonts w:ascii="Arial" w:eastAsia="Arial" w:hAnsi="Arial" w:cs="Arial"/>
          <w:color w:val="000000" w:themeColor="text1"/>
        </w:rPr>
        <w:t>.</w:t>
      </w:r>
    </w:p>
    <w:p w:rsidR="00E93FBE" w:rsidRDefault="00E93FBE">
      <w:pPr>
        <w:spacing w:line="360" w:lineRule="auto"/>
        <w:jc w:val="center"/>
        <w:rPr>
          <w:rFonts w:ascii="Arial" w:eastAsia="Arial" w:hAnsi="Arial" w:cs="Arial"/>
          <w:color w:val="2F5496"/>
        </w:rPr>
      </w:pPr>
    </w:p>
    <w:p w:rsidR="00BB600E" w:rsidRDefault="00B277E4">
      <w:pPr>
        <w:spacing w:line="360" w:lineRule="auto"/>
        <w:jc w:val="center"/>
        <w:rPr>
          <w:rFonts w:ascii="Arial" w:eastAsia="Arial" w:hAnsi="Arial" w:cs="Arial"/>
          <w:b/>
          <w:color w:val="FF0000"/>
        </w:rPr>
      </w:pPr>
      <w:r>
        <w:rPr>
          <w:rFonts w:ascii="Arial" w:eastAsia="Arial" w:hAnsi="Arial" w:cs="Arial"/>
          <w:b/>
          <w:color w:val="000000"/>
        </w:rPr>
        <w:t>Cs = 0,03</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CALCULO DE LA MULTA</w:t>
      </w:r>
    </w:p>
    <w:p w:rsidR="00BB600E" w:rsidRDefault="00BB600E"/>
    <w:p w:rsidR="00BB600E" w:rsidRDefault="00B277E4">
      <w:pPr>
        <w:spacing w:line="360" w:lineRule="auto"/>
        <w:jc w:val="both"/>
        <w:rPr>
          <w:rFonts w:ascii="Arial" w:eastAsia="Arial" w:hAnsi="Arial" w:cs="Arial"/>
        </w:rPr>
      </w:pPr>
      <w:r>
        <w:rPr>
          <w:rFonts w:ascii="Arial" w:eastAsia="Arial" w:hAnsi="Arial" w:cs="Arial"/>
        </w:rPr>
        <w:t>Dando cumplimiento al artículo 4 de la Resolución MAVDT 2086 de 2010 del Ministerio de Ambiente y Desarrollo Sostenible y habiendo adelantado la metodología para la tasación de multa, se da evaluación a la siguiente modelación matemática:</w:t>
      </w:r>
    </w:p>
    <w:p w:rsidR="00BB600E" w:rsidRDefault="00BB600E">
      <w:pPr>
        <w:spacing w:line="360" w:lineRule="auto"/>
        <w:jc w:val="both"/>
        <w:rPr>
          <w:rFonts w:ascii="Arial" w:eastAsia="Arial" w:hAnsi="Arial" w:cs="Arial"/>
        </w:rPr>
      </w:pPr>
    </w:p>
    <w:p w:rsidR="00BB600E" w:rsidRDefault="00E93FBE">
      <w:pPr>
        <w:spacing w:line="360" w:lineRule="auto"/>
        <w:jc w:val="center"/>
        <w:rPr>
          <w:rFonts w:ascii="Arial" w:eastAsia="Arial" w:hAnsi="Arial" w:cs="Arial"/>
          <w:b/>
        </w:rPr>
      </w:pPr>
      <w:r>
        <w:rPr>
          <w:rFonts w:ascii="Arial" w:eastAsia="Arial" w:hAnsi="Arial" w:cs="Arial"/>
          <w:b/>
        </w:rPr>
        <w:lastRenderedPageBreak/>
        <w:t>Multa = B + [(α</w:t>
      </w:r>
      <w:r w:rsidR="00B277E4">
        <w:rPr>
          <w:rFonts w:ascii="Arial" w:eastAsia="Arial" w:hAnsi="Arial" w:cs="Arial"/>
          <w:b/>
        </w:rPr>
        <w:t>*R) * (1+ A) + Ca] ∗Cs</w:t>
      </w: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8. Resumen de las variables cálculo de la multa</w:t>
      </w:r>
    </w:p>
    <w:tbl>
      <w:tblPr>
        <w:tblStyle w:val="a8"/>
        <w:tblW w:w="5191" w:type="dxa"/>
        <w:jc w:val="center"/>
        <w:tblInd w:w="0" w:type="dxa"/>
        <w:tblLayout w:type="fixed"/>
        <w:tblLook w:val="0400" w:firstRow="0" w:lastRow="0" w:firstColumn="0" w:lastColumn="0" w:noHBand="0" w:noVBand="1"/>
      </w:tblPr>
      <w:tblGrid>
        <w:gridCol w:w="3256"/>
        <w:gridCol w:w="1935"/>
      </w:tblGrid>
      <w:tr w:rsidR="00E93FBE" w:rsidRPr="00E93FBE">
        <w:trPr>
          <w:trHeight w:val="315"/>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B600E" w:rsidRPr="00E93FBE" w:rsidRDefault="00B277E4">
            <w:pPr>
              <w:spacing w:line="360" w:lineRule="auto"/>
              <w:jc w:val="center"/>
              <w:rPr>
                <w:rFonts w:ascii="Arial" w:eastAsia="Arial" w:hAnsi="Arial" w:cs="Arial"/>
                <w:color w:val="000000" w:themeColor="text1"/>
                <w:sz w:val="20"/>
                <w:szCs w:val="18"/>
              </w:rPr>
            </w:pPr>
            <w:r w:rsidRPr="00E93FBE">
              <w:rPr>
                <w:rFonts w:ascii="Arial" w:eastAsia="Arial" w:hAnsi="Arial" w:cs="Arial"/>
                <w:color w:val="000000" w:themeColor="text1"/>
                <w:sz w:val="20"/>
                <w:szCs w:val="18"/>
              </w:rPr>
              <w:t>Beneficio ilícito (B)</w:t>
            </w:r>
          </w:p>
        </w:tc>
        <w:tc>
          <w:tcPr>
            <w:tcW w:w="1935" w:type="dxa"/>
            <w:tcBorders>
              <w:top w:val="single" w:sz="4" w:space="0" w:color="000000"/>
              <w:left w:val="nil"/>
              <w:bottom w:val="single" w:sz="4" w:space="0" w:color="000000"/>
              <w:right w:val="single" w:sz="4" w:space="0" w:color="000000"/>
            </w:tcBorders>
            <w:shd w:val="clear" w:color="auto" w:fill="auto"/>
            <w:vAlign w:val="center"/>
          </w:tcPr>
          <w:p w:rsidR="00BB600E" w:rsidRPr="00E93FBE" w:rsidRDefault="00B277E4">
            <w:pPr>
              <w:spacing w:line="360" w:lineRule="auto"/>
              <w:jc w:val="center"/>
              <w:rPr>
                <w:rFonts w:ascii="Arial" w:eastAsia="Arial" w:hAnsi="Arial" w:cs="Arial"/>
                <w:color w:val="000000" w:themeColor="text1"/>
                <w:sz w:val="20"/>
                <w:szCs w:val="18"/>
              </w:rPr>
            </w:pPr>
            <w:r w:rsidRPr="00E93FBE">
              <w:rPr>
                <w:rFonts w:ascii="Arial" w:eastAsia="Arial" w:hAnsi="Arial" w:cs="Arial"/>
                <w:color w:val="000000" w:themeColor="text1"/>
                <w:sz w:val="20"/>
                <w:szCs w:val="18"/>
              </w:rPr>
              <w:t>$ 0</w:t>
            </w:r>
          </w:p>
        </w:tc>
      </w:tr>
      <w:tr w:rsidR="00E93FBE" w:rsidRPr="00E93FBE">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E93FBE" w:rsidRDefault="00B277E4">
            <w:pPr>
              <w:spacing w:line="360" w:lineRule="auto"/>
              <w:jc w:val="center"/>
              <w:rPr>
                <w:rFonts w:ascii="Arial" w:eastAsia="Arial" w:hAnsi="Arial" w:cs="Arial"/>
                <w:color w:val="000000" w:themeColor="text1"/>
                <w:sz w:val="20"/>
                <w:szCs w:val="18"/>
              </w:rPr>
            </w:pPr>
            <w:r w:rsidRPr="00E93FBE">
              <w:rPr>
                <w:rFonts w:ascii="Arial" w:eastAsia="Arial" w:hAnsi="Arial" w:cs="Arial"/>
                <w:color w:val="000000" w:themeColor="text1"/>
                <w:sz w:val="20"/>
                <w:szCs w:val="18"/>
              </w:rPr>
              <w:t>Temporalidad (α)</w:t>
            </w:r>
          </w:p>
        </w:tc>
        <w:tc>
          <w:tcPr>
            <w:tcW w:w="1935" w:type="dxa"/>
            <w:tcBorders>
              <w:top w:val="nil"/>
              <w:left w:val="nil"/>
              <w:bottom w:val="single" w:sz="4" w:space="0" w:color="000000"/>
              <w:right w:val="single" w:sz="4" w:space="0" w:color="000000"/>
            </w:tcBorders>
            <w:shd w:val="clear" w:color="auto" w:fill="auto"/>
            <w:vAlign w:val="center"/>
          </w:tcPr>
          <w:p w:rsidR="00BB600E" w:rsidRPr="00E93FBE" w:rsidRDefault="00B277E4">
            <w:pPr>
              <w:spacing w:line="360" w:lineRule="auto"/>
              <w:jc w:val="center"/>
              <w:rPr>
                <w:rFonts w:ascii="Arial" w:eastAsia="Arial" w:hAnsi="Arial" w:cs="Arial"/>
                <w:color w:val="000000" w:themeColor="text1"/>
                <w:sz w:val="20"/>
                <w:szCs w:val="18"/>
              </w:rPr>
            </w:pPr>
            <w:r w:rsidRPr="00E93FBE">
              <w:rPr>
                <w:rFonts w:ascii="Arial" w:eastAsia="Arial" w:hAnsi="Arial" w:cs="Arial"/>
                <w:color w:val="000000" w:themeColor="text1"/>
                <w:sz w:val="20"/>
                <w:szCs w:val="18"/>
              </w:rPr>
              <w:t>1</w:t>
            </w:r>
          </w:p>
        </w:tc>
      </w:tr>
      <w:tr w:rsidR="00E93FBE" w:rsidRPr="00E93FBE">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E93FBE" w:rsidRDefault="00B277E4">
            <w:pPr>
              <w:spacing w:line="360" w:lineRule="auto"/>
              <w:jc w:val="center"/>
              <w:rPr>
                <w:rFonts w:ascii="Arial" w:eastAsia="Arial" w:hAnsi="Arial" w:cs="Arial"/>
                <w:color w:val="000000" w:themeColor="text1"/>
                <w:sz w:val="20"/>
                <w:szCs w:val="18"/>
              </w:rPr>
            </w:pPr>
            <w:r w:rsidRPr="00E93FBE">
              <w:rPr>
                <w:rFonts w:ascii="Arial" w:eastAsia="Arial" w:hAnsi="Arial" w:cs="Arial"/>
                <w:color w:val="000000" w:themeColor="text1"/>
                <w:sz w:val="20"/>
                <w:szCs w:val="18"/>
              </w:rPr>
              <w:t>Grado de afectación ambiental y/o riesgo (R)</w:t>
            </w:r>
          </w:p>
        </w:tc>
        <w:tc>
          <w:tcPr>
            <w:tcW w:w="1935" w:type="dxa"/>
            <w:tcBorders>
              <w:top w:val="nil"/>
              <w:left w:val="nil"/>
              <w:bottom w:val="single" w:sz="4" w:space="0" w:color="000000"/>
              <w:right w:val="single" w:sz="4" w:space="0" w:color="000000"/>
            </w:tcBorders>
            <w:shd w:val="clear" w:color="auto" w:fill="auto"/>
            <w:vAlign w:val="center"/>
          </w:tcPr>
          <w:p w:rsidR="00BB600E" w:rsidRPr="00E93FBE" w:rsidRDefault="00B277E4">
            <w:pPr>
              <w:spacing w:line="360" w:lineRule="auto"/>
              <w:jc w:val="center"/>
              <w:rPr>
                <w:rFonts w:ascii="Arial" w:eastAsia="Arial" w:hAnsi="Arial" w:cs="Arial"/>
                <w:color w:val="000000" w:themeColor="text1"/>
                <w:sz w:val="20"/>
                <w:szCs w:val="18"/>
              </w:rPr>
            </w:pPr>
            <w:r w:rsidRPr="00E93FBE">
              <w:rPr>
                <w:rFonts w:ascii="Arial" w:eastAsia="Arial" w:hAnsi="Arial" w:cs="Arial"/>
                <w:color w:val="000000" w:themeColor="text1"/>
                <w:sz w:val="20"/>
                <w:szCs w:val="18"/>
              </w:rPr>
              <w:t>$43.017.000</w:t>
            </w:r>
          </w:p>
        </w:tc>
      </w:tr>
      <w:tr w:rsidR="00E93FBE" w:rsidRPr="00E93FBE">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E93FBE" w:rsidRDefault="00B277E4">
            <w:pPr>
              <w:spacing w:line="360" w:lineRule="auto"/>
              <w:jc w:val="center"/>
              <w:rPr>
                <w:rFonts w:ascii="Arial" w:eastAsia="Arial" w:hAnsi="Arial" w:cs="Arial"/>
                <w:color w:val="000000" w:themeColor="text1"/>
                <w:sz w:val="20"/>
                <w:szCs w:val="18"/>
              </w:rPr>
            </w:pPr>
            <w:r w:rsidRPr="00E93FBE">
              <w:rPr>
                <w:rFonts w:ascii="Arial" w:eastAsia="Arial" w:hAnsi="Arial" w:cs="Arial"/>
                <w:color w:val="000000" w:themeColor="text1"/>
                <w:sz w:val="20"/>
                <w:szCs w:val="18"/>
              </w:rPr>
              <w:t>Circunstancias Agravantes y Atenuantes (A)</w:t>
            </w:r>
          </w:p>
        </w:tc>
        <w:tc>
          <w:tcPr>
            <w:tcW w:w="1935" w:type="dxa"/>
            <w:tcBorders>
              <w:top w:val="nil"/>
              <w:left w:val="nil"/>
              <w:bottom w:val="single" w:sz="4" w:space="0" w:color="000000"/>
              <w:right w:val="single" w:sz="4" w:space="0" w:color="000000"/>
            </w:tcBorders>
            <w:shd w:val="clear" w:color="auto" w:fill="auto"/>
            <w:vAlign w:val="center"/>
          </w:tcPr>
          <w:p w:rsidR="00BB600E" w:rsidRPr="00E93FBE" w:rsidRDefault="00E93FBE">
            <w:pPr>
              <w:spacing w:line="360" w:lineRule="auto"/>
              <w:jc w:val="center"/>
              <w:rPr>
                <w:rFonts w:ascii="Arial" w:eastAsia="Arial" w:hAnsi="Arial" w:cs="Arial"/>
                <w:color w:val="000000" w:themeColor="text1"/>
                <w:sz w:val="20"/>
                <w:szCs w:val="18"/>
              </w:rPr>
            </w:pPr>
            <w:r>
              <w:rPr>
                <w:rFonts w:ascii="Arial" w:eastAsia="Arial" w:hAnsi="Arial" w:cs="Arial"/>
                <w:color w:val="000000" w:themeColor="text1"/>
                <w:sz w:val="20"/>
                <w:szCs w:val="18"/>
              </w:rPr>
              <w:t>0,2</w:t>
            </w:r>
          </w:p>
        </w:tc>
      </w:tr>
      <w:tr w:rsidR="00E93FBE" w:rsidRPr="00E93FBE">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E93FBE" w:rsidRDefault="00B277E4">
            <w:pPr>
              <w:spacing w:line="360" w:lineRule="auto"/>
              <w:jc w:val="center"/>
              <w:rPr>
                <w:rFonts w:ascii="Arial" w:eastAsia="Arial" w:hAnsi="Arial" w:cs="Arial"/>
                <w:color w:val="000000" w:themeColor="text1"/>
                <w:sz w:val="20"/>
                <w:szCs w:val="18"/>
              </w:rPr>
            </w:pPr>
            <w:r w:rsidRPr="00E93FBE">
              <w:rPr>
                <w:rFonts w:ascii="Arial" w:eastAsia="Arial" w:hAnsi="Arial" w:cs="Arial"/>
                <w:color w:val="000000" w:themeColor="text1"/>
                <w:sz w:val="20"/>
                <w:szCs w:val="18"/>
              </w:rPr>
              <w:t>Costos Asociados (Ca)</w:t>
            </w:r>
          </w:p>
        </w:tc>
        <w:tc>
          <w:tcPr>
            <w:tcW w:w="1935" w:type="dxa"/>
            <w:tcBorders>
              <w:top w:val="nil"/>
              <w:left w:val="nil"/>
              <w:bottom w:val="single" w:sz="4" w:space="0" w:color="000000"/>
              <w:right w:val="single" w:sz="4" w:space="0" w:color="000000"/>
            </w:tcBorders>
            <w:shd w:val="clear" w:color="auto" w:fill="auto"/>
            <w:vAlign w:val="center"/>
          </w:tcPr>
          <w:p w:rsidR="00BB600E" w:rsidRPr="00E93FBE" w:rsidRDefault="00B277E4">
            <w:pPr>
              <w:spacing w:line="360" w:lineRule="auto"/>
              <w:jc w:val="center"/>
              <w:rPr>
                <w:rFonts w:ascii="Arial" w:eastAsia="Arial" w:hAnsi="Arial" w:cs="Arial"/>
                <w:color w:val="000000" w:themeColor="text1"/>
                <w:sz w:val="20"/>
                <w:szCs w:val="18"/>
              </w:rPr>
            </w:pPr>
            <w:r w:rsidRPr="00E93FBE">
              <w:rPr>
                <w:rFonts w:ascii="Arial" w:eastAsia="Arial" w:hAnsi="Arial" w:cs="Arial"/>
                <w:color w:val="000000" w:themeColor="text1"/>
                <w:sz w:val="20"/>
                <w:szCs w:val="18"/>
              </w:rPr>
              <w:t>$ 0</w:t>
            </w:r>
          </w:p>
        </w:tc>
      </w:tr>
      <w:tr w:rsidR="00E93FBE" w:rsidRPr="00E93FBE">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E93FBE" w:rsidRDefault="00B277E4">
            <w:pPr>
              <w:spacing w:line="360" w:lineRule="auto"/>
              <w:jc w:val="center"/>
              <w:rPr>
                <w:rFonts w:ascii="Arial" w:eastAsia="Arial" w:hAnsi="Arial" w:cs="Arial"/>
                <w:color w:val="000000" w:themeColor="text1"/>
                <w:sz w:val="20"/>
                <w:szCs w:val="18"/>
              </w:rPr>
            </w:pPr>
            <w:r w:rsidRPr="00E93FBE">
              <w:rPr>
                <w:rFonts w:ascii="Arial" w:eastAsia="Arial" w:hAnsi="Arial" w:cs="Arial"/>
                <w:color w:val="000000" w:themeColor="text1"/>
                <w:sz w:val="20"/>
                <w:szCs w:val="18"/>
              </w:rPr>
              <w:t>Capacidad Socioeconómica (Cs)</w:t>
            </w:r>
          </w:p>
        </w:tc>
        <w:tc>
          <w:tcPr>
            <w:tcW w:w="1935" w:type="dxa"/>
            <w:tcBorders>
              <w:top w:val="nil"/>
              <w:left w:val="nil"/>
              <w:bottom w:val="single" w:sz="4" w:space="0" w:color="000000"/>
              <w:right w:val="single" w:sz="4" w:space="0" w:color="000000"/>
            </w:tcBorders>
            <w:shd w:val="clear" w:color="auto" w:fill="auto"/>
            <w:vAlign w:val="center"/>
          </w:tcPr>
          <w:p w:rsidR="00BB600E" w:rsidRPr="00E93FBE" w:rsidRDefault="00B277E4">
            <w:pPr>
              <w:spacing w:line="360" w:lineRule="auto"/>
              <w:jc w:val="center"/>
              <w:rPr>
                <w:rFonts w:ascii="Arial" w:eastAsia="Arial" w:hAnsi="Arial" w:cs="Arial"/>
                <w:color w:val="000000" w:themeColor="text1"/>
                <w:sz w:val="20"/>
                <w:szCs w:val="18"/>
              </w:rPr>
            </w:pPr>
            <w:r w:rsidRPr="00E93FBE">
              <w:rPr>
                <w:rFonts w:ascii="Arial" w:eastAsia="Arial" w:hAnsi="Arial" w:cs="Arial"/>
                <w:color w:val="000000" w:themeColor="text1"/>
                <w:sz w:val="20"/>
                <w:szCs w:val="18"/>
              </w:rPr>
              <w:t>0,03</w:t>
            </w:r>
          </w:p>
        </w:tc>
      </w:tr>
    </w:tbl>
    <w:p w:rsidR="00BB600E" w:rsidRDefault="00BB600E">
      <w:pPr>
        <w:spacing w:line="360" w:lineRule="auto"/>
        <w:jc w:val="both"/>
        <w:rPr>
          <w:rFonts w:ascii="Arial" w:eastAsia="Arial" w:hAnsi="Arial" w:cs="Arial"/>
          <w:color w:val="BF8F00"/>
        </w:rPr>
      </w:pPr>
    </w:p>
    <w:p w:rsidR="00BB600E" w:rsidRDefault="00B277E4">
      <w:pPr>
        <w:spacing w:line="360" w:lineRule="auto"/>
        <w:jc w:val="both"/>
        <w:rPr>
          <w:rFonts w:ascii="Arial" w:eastAsia="Arial" w:hAnsi="Arial" w:cs="Arial"/>
          <w:color w:val="000000"/>
        </w:rPr>
      </w:pPr>
      <w:r>
        <w:rPr>
          <w:rFonts w:ascii="Arial" w:eastAsia="Arial" w:hAnsi="Arial" w:cs="Arial"/>
          <w:b/>
          <w:color w:val="000000"/>
        </w:rPr>
        <w:t>Multa = $0 + [(1 * $43.017.000) × (1+0,2) + 0] *0,03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rPr>
      </w:pPr>
      <w:r>
        <w:rPr>
          <w:rFonts w:ascii="Arial" w:eastAsia="Arial" w:hAnsi="Arial" w:cs="Arial"/>
          <w:b/>
          <w:color w:val="000000"/>
        </w:rPr>
        <w:t xml:space="preserve">Multa = </w:t>
      </w:r>
      <w:r w:rsidR="00E93FBE" w:rsidRPr="00E93FBE">
        <w:rPr>
          <w:rFonts w:ascii="Arial" w:eastAsia="Arial" w:hAnsi="Arial" w:cs="Arial"/>
          <w:b/>
          <w:color w:val="000000"/>
        </w:rPr>
        <w:t>UN MILLÓN QUINIENTOS CUARE</w:t>
      </w:r>
      <w:r w:rsidR="00E93FBE">
        <w:rPr>
          <w:rFonts w:ascii="Arial" w:eastAsia="Arial" w:hAnsi="Arial" w:cs="Arial"/>
          <w:b/>
          <w:color w:val="000000"/>
        </w:rPr>
        <w:t>NTA Y OCHO MIL SEISCIENTOS DOCE</w:t>
      </w:r>
      <w:r>
        <w:rPr>
          <w:rFonts w:ascii="Arial" w:eastAsia="Arial" w:hAnsi="Arial" w:cs="Arial"/>
          <w:b/>
          <w:color w:val="000000"/>
        </w:rPr>
        <w:t xml:space="preserve"> PESOS MONEDA CORRIENTE ($ 1.548.612).</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concordancia con el artículo 313 de la Ley 2294 de 2023, que establece:</w:t>
      </w:r>
    </w:p>
    <w:p w:rsidR="00E93FBE" w:rsidRDefault="00E93FBE">
      <w:pPr>
        <w:spacing w:line="360" w:lineRule="auto"/>
        <w:jc w:val="both"/>
        <w:rPr>
          <w:rFonts w:ascii="Arial" w:eastAsia="Arial" w:hAnsi="Arial" w:cs="Arial"/>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El Ministerio de Hacienda y Crédito Público publicará mediante Resolución antes del primero (1) de enero de cada año, el valor de la Unidad de Valor Básico -UVB- aplicable para el año siguiente.</w:t>
      </w:r>
    </w:p>
    <w:p w:rsidR="00E93FBE" w:rsidRDefault="00E93FB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Todos los cobros; sanciones; multas; tarifas; requisitos financieros para la constitución, la habilitación, la operación o el funcionamiento de empresas públicas y/o privadas; </w:t>
      </w:r>
      <w:r>
        <w:rPr>
          <w:rFonts w:ascii="Arial" w:eastAsia="Arial" w:hAnsi="Arial" w:cs="Arial"/>
          <w:i/>
          <w:color w:val="000000"/>
        </w:rPr>
        <w:lastRenderedPageBreak/>
        <w:t>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rsidR="00E93FBE" w:rsidRDefault="00E93FB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rPr>
      </w:pPr>
      <w:r>
        <w:rPr>
          <w:rFonts w:ascii="Arial" w:eastAsia="Arial" w:hAnsi="Arial" w:cs="Arial"/>
        </w:rPr>
        <w:t>Valor UVB 2024: $10.951 (Artículo 1 de la Resolución 3268 del 18 de diciembre del 2023)</w:t>
      </w:r>
    </w:p>
    <w:p w:rsidR="00BB600E" w:rsidRDefault="00DE0642">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$ 10.951</m:t>
              </m:r>
            </m:den>
          </m:f>
        </m:oMath>
      </m:oMathPara>
    </w:p>
    <w:p w:rsidR="00BB600E" w:rsidRDefault="00DE0642">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color w:val="000000" w:themeColor="text1"/>
            </w:rPr>
            <m:t>1.548.612</m:t>
          </m:r>
          <m:r>
            <w:rPr>
              <w:rFonts w:ascii="Cambria Math" w:eastAsia="Cambria Math" w:hAnsi="Cambria Math" w:cs="Cambria Math"/>
              <w:color w:val="000000"/>
            </w:rPr>
            <m:t xml:space="preserve"> *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$10.951</m:t>
              </m:r>
            </m:den>
          </m:f>
        </m:oMath>
      </m:oMathPara>
    </w:p>
    <w:p w:rsidR="00BB600E" w:rsidRDefault="00E93FBE">
      <w:pPr>
        <w:spacing w:line="360" w:lineRule="auto"/>
        <w:jc w:val="center"/>
        <w:rPr>
          <w:rFonts w:ascii="Arial" w:eastAsia="Arial" w:hAnsi="Arial" w:cs="Arial"/>
          <w:color w:val="000000"/>
        </w:rPr>
      </w:pPr>
      <w:r>
        <w:rPr>
          <w:rFonts w:ascii="Arial" w:eastAsia="Arial" w:hAnsi="Arial" w:cs="Arial"/>
          <w:b/>
          <w:color w:val="000000"/>
        </w:rPr>
        <w:t>Multa UVB = 141,41</w:t>
      </w:r>
      <w:r w:rsidR="00B277E4">
        <w:rPr>
          <w:rFonts w:ascii="Arial" w:eastAsia="Arial" w:hAnsi="Arial" w:cs="Arial"/>
          <w:b/>
          <w:color w:val="000000"/>
        </w:rPr>
        <w:t xml:space="preserve"> UVB</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RECOMENDACIONES</w:t>
      </w:r>
    </w:p>
    <w:p w:rsidR="00BB600E" w:rsidRDefault="00BB600E">
      <w:pPr>
        <w:spacing w:line="360" w:lineRule="auto"/>
        <w:jc w:val="both"/>
        <w:rPr>
          <w:rFonts w:ascii="Arial" w:eastAsia="Arial" w:hAnsi="Arial" w:cs="Arial"/>
        </w:rPr>
      </w:pPr>
    </w:p>
    <w:p w:rsidR="00BB600E" w:rsidRDefault="00B277E4" w:rsidP="00E93FBE">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Imponer a la señora DIANA MILENA</w:t>
      </w:r>
      <w:r w:rsidR="00E93FBE">
        <w:rPr>
          <w:rFonts w:ascii="Arial" w:eastAsia="Arial" w:hAnsi="Arial" w:cs="Arial"/>
          <w:color w:val="000000"/>
        </w:rPr>
        <w:t xml:space="preserve"> OSMA DIAZ, identificada con cédula de ciudadanía</w:t>
      </w:r>
      <w:r>
        <w:rPr>
          <w:rFonts w:ascii="Arial" w:eastAsia="Arial" w:hAnsi="Arial" w:cs="Arial"/>
          <w:color w:val="000000"/>
        </w:rPr>
        <w:t xml:space="preserve"> 1.014.192.252, una sanción pecuniaria por un valor de </w:t>
      </w:r>
      <w:r w:rsidR="00E93FBE" w:rsidRPr="00E93FBE">
        <w:rPr>
          <w:rFonts w:ascii="Arial" w:eastAsia="Arial" w:hAnsi="Arial" w:cs="Arial"/>
          <w:b/>
          <w:color w:val="000000"/>
        </w:rPr>
        <w:t>UN MILLÓN QUINIENTOS CUARE</w:t>
      </w:r>
      <w:r w:rsidR="00E93FBE">
        <w:rPr>
          <w:rFonts w:ascii="Arial" w:eastAsia="Arial" w:hAnsi="Arial" w:cs="Arial"/>
          <w:b/>
          <w:color w:val="000000"/>
        </w:rPr>
        <w:t>NTA Y OCHO MIL SEISCIENTOS DOCE PESOS</w:t>
      </w:r>
      <w:r w:rsidR="00E93FBE">
        <w:rPr>
          <w:rFonts w:ascii="Arial" w:eastAsia="Arial" w:hAnsi="Arial" w:cs="Arial"/>
          <w:b/>
          <w:color w:val="000000"/>
        </w:rPr>
        <w:t xml:space="preserve"> MONEDA CORRIENTE ($ 1.548.612)</w:t>
      </w:r>
      <w:r w:rsidR="00E93FBE">
        <w:rPr>
          <w:rFonts w:ascii="Arial" w:eastAsia="Arial" w:hAnsi="Arial" w:cs="Arial"/>
          <w:color w:val="000000"/>
        </w:rPr>
        <w:t xml:space="preserve"> equivalentes a </w:t>
      </w:r>
      <w:r w:rsidR="00E93FBE" w:rsidRPr="00E93FBE">
        <w:rPr>
          <w:rFonts w:ascii="Arial" w:eastAsia="Arial" w:hAnsi="Arial" w:cs="Arial"/>
          <w:b/>
          <w:color w:val="000000"/>
        </w:rPr>
        <w:t>141,41</w:t>
      </w:r>
      <w:r w:rsidRPr="00E93FBE">
        <w:rPr>
          <w:rFonts w:ascii="Arial" w:eastAsia="Arial" w:hAnsi="Arial" w:cs="Arial"/>
          <w:b/>
          <w:color w:val="000000"/>
        </w:rPr>
        <w:t xml:space="preserve"> UVB</w:t>
      </w:r>
      <w:r>
        <w:rPr>
          <w:rFonts w:ascii="Arial" w:eastAsia="Arial" w:hAnsi="Arial" w:cs="Arial"/>
          <w:color w:val="000000"/>
        </w:rPr>
        <w:t xml:space="preserve"> de acuerdo con la aplicación del modelo matemático de la Resolución MAVDT 2086 de 2010, por las infracciones señaladas en el Auto 02737 de 25 de agosto de 2015.</w:t>
      </w:r>
    </w:p>
    <w:p w:rsidR="00BB600E" w:rsidRDefault="00BB600E">
      <w:pPr>
        <w:spacing w:line="360" w:lineRule="auto"/>
        <w:jc w:val="both"/>
        <w:rPr>
          <w:rFonts w:ascii="Arial" w:eastAsia="Arial" w:hAnsi="Arial" w:cs="Arial"/>
        </w:rPr>
      </w:pPr>
    </w:p>
    <w:p w:rsidR="00BB600E" w:rsidRDefault="00B277E4" w:rsidP="00E93FBE">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lastRenderedPageBreak/>
        <w:t>Se recomienda al grupo jurídico se analicen las observaciones de carácter técnico establecidas en el presente informe. Para adoptar la decisión que corresponda dentro del proceso sancionatorio.</w:t>
      </w:r>
    </w:p>
    <w:p w:rsidR="00BB600E" w:rsidRDefault="00BB600E">
      <w:pPr>
        <w:pBdr>
          <w:top w:val="nil"/>
          <w:left w:val="nil"/>
          <w:bottom w:val="nil"/>
          <w:right w:val="nil"/>
          <w:between w:val="nil"/>
        </w:pBdr>
        <w:ind w:left="720"/>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highlight w:val="yellow"/>
        </w:rPr>
        <w:t>END_OF_EDITABLE_SECTION</w:t>
      </w:r>
    </w:p>
    <w:p w:rsidR="00BB600E" w:rsidRDefault="00BB600E">
      <w:pPr>
        <w:tabs>
          <w:tab w:val="left" w:pos="567"/>
        </w:tabs>
        <w:rPr>
          <w:rFonts w:ascii="Arial" w:eastAsia="Arial" w:hAnsi="Arial" w:cs="Arial"/>
        </w:rPr>
      </w:pPr>
    </w:p>
    <w:p w:rsidR="00BB600E" w:rsidRDefault="00BB600E">
      <w:pPr>
        <w:tabs>
          <w:tab w:val="left" w:pos="567"/>
        </w:tabs>
        <w:rPr>
          <w:rFonts w:ascii="Arial" w:eastAsia="Arial" w:hAnsi="Arial" w:cs="Arial"/>
        </w:rPr>
        <w:sectPr w:rsidR="00BB600E">
          <w:type w:val="continuous"/>
          <w:pgSz w:w="12240" w:h="15840"/>
          <w:pgMar w:top="2268" w:right="1418" w:bottom="2268" w:left="1418" w:header="0" w:footer="0" w:gutter="0"/>
          <w:cols w:space="720"/>
        </w:sectPr>
      </w:pPr>
    </w:p>
    <w:p w:rsidR="00BB600E" w:rsidRDefault="00B277E4">
      <w:pPr>
        <w:tabs>
          <w:tab w:val="left" w:pos="567"/>
        </w:tabs>
        <w:rPr>
          <w:rFonts w:ascii="Arial" w:eastAsia="Arial" w:hAnsi="Arial" w:cs="Arial"/>
          <w:sz w:val="22"/>
          <w:szCs w:val="22"/>
        </w:rPr>
      </w:pPr>
      <w:bookmarkStart w:id="10" w:name="bookmark=id.4d34og8" w:colFirst="0" w:colLast="0"/>
      <w:bookmarkEnd w:id="10"/>
      <w:r>
        <w:rPr>
          <w:noProof/>
          <w:lang w:val="es-CO" w:eastAsia="es-CO"/>
        </w:rPr>
        <w:drawing>
          <wp:inline distT="0" distB="0" distL="0" distR="0">
            <wp:extent cx="3248025" cy="1085850"/>
            <wp:effectExtent l="0" t="0" r="0" b="0"/>
            <wp:docPr id="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3248025" cy="1085850"/>
                    </a:xfrm>
                    <a:prstGeom prst="rect">
                      <a:avLst/>
                    </a:prstGeom>
                    <a:ln/>
                  </pic:spPr>
                </pic:pic>
              </a:graphicData>
            </a:graphic>
          </wp:inline>
        </w:drawing>
      </w:r>
    </w:p>
    <w:p w:rsidR="00BB600E" w:rsidRDefault="00B277E4">
      <w:pPr>
        <w:rPr>
          <w:rFonts w:ascii="Arial" w:eastAsia="Arial" w:hAnsi="Arial" w:cs="Arial"/>
          <w:b/>
        </w:rPr>
      </w:pPr>
      <w:bookmarkStart w:id="11" w:name="bookmark=id.2s8eyo1" w:colFirst="0" w:colLast="0"/>
      <w:bookmarkEnd w:id="11"/>
      <w:r>
        <w:rPr>
          <w:rFonts w:ascii="Arial" w:eastAsia="Arial" w:hAnsi="Arial" w:cs="Arial"/>
          <w:b/>
        </w:rPr>
        <w:t>NOMBRE DEL REMITENTE</w:t>
      </w:r>
    </w:p>
    <w:p w:rsidR="00BB600E" w:rsidRDefault="00B277E4">
      <w:pPr>
        <w:rPr>
          <w:rFonts w:ascii="Arial" w:eastAsia="Arial" w:hAnsi="Arial" w:cs="Arial"/>
          <w:b/>
        </w:rPr>
      </w:pPr>
      <w:bookmarkStart w:id="12" w:name="bookmark=id.17dp8vu" w:colFirst="0" w:colLast="0"/>
      <w:bookmarkEnd w:id="12"/>
      <w:r>
        <w:rPr>
          <w:rFonts w:ascii="Arial" w:eastAsia="Arial" w:hAnsi="Arial" w:cs="Arial"/>
          <w:b/>
        </w:rPr>
        <w:t>DEPENDENCIA</w:t>
      </w:r>
    </w:p>
    <w:p w:rsidR="00BB600E" w:rsidRDefault="00BB600E">
      <w:pPr>
        <w:rPr>
          <w:rFonts w:ascii="Arial" w:eastAsia="Arial" w:hAnsi="Arial" w:cs="Arial"/>
          <w:sz w:val="22"/>
          <w:szCs w:val="22"/>
        </w:rPr>
        <w:sectPr w:rsidR="00BB600E">
          <w:type w:val="continuous"/>
          <w:pgSz w:w="12240" w:h="15840"/>
          <w:pgMar w:top="2268" w:right="1418" w:bottom="2268" w:left="1418" w:header="0" w:footer="0" w:gutter="0"/>
          <w:cols w:space="720"/>
        </w:sectPr>
      </w:pPr>
    </w:p>
    <w:p w:rsidR="00BB600E" w:rsidRDefault="00B277E4">
      <w:pPr>
        <w:rPr>
          <w:rFonts w:ascii="Arial" w:eastAsia="Arial" w:hAnsi="Arial" w:cs="Arial"/>
          <w:i/>
          <w:sz w:val="16"/>
          <w:szCs w:val="16"/>
        </w:rPr>
      </w:pPr>
      <w:bookmarkStart w:id="13" w:name="bookmark=id.3rdcrjn" w:colFirst="0" w:colLast="0"/>
      <w:bookmarkEnd w:id="13"/>
      <w:r>
        <w:rPr>
          <w:rFonts w:ascii="Arial" w:eastAsia="Arial" w:hAnsi="Arial" w:cs="Arial"/>
          <w:i/>
          <w:sz w:val="16"/>
          <w:szCs w:val="16"/>
        </w:rPr>
        <w:t>Traza</w:t>
      </w:r>
    </w:p>
    <w:p w:rsidR="00BB600E" w:rsidRDefault="00BB600E">
      <w:pPr>
        <w:rPr>
          <w:rFonts w:ascii="Arial" w:eastAsia="Arial" w:hAnsi="Arial" w:cs="Arial"/>
          <w:i/>
          <w:sz w:val="16"/>
          <w:szCs w:val="16"/>
        </w:rPr>
        <w:sectPr w:rsidR="00BB600E">
          <w:type w:val="continuous"/>
          <w:pgSz w:w="12240" w:h="15840"/>
          <w:pgMar w:top="2268" w:right="1418" w:bottom="2268" w:left="1418" w:header="0" w:footer="0" w:gutter="0"/>
          <w:cols w:space="720"/>
        </w:sectPr>
      </w:pPr>
    </w:p>
    <w:p w:rsidR="00BB600E" w:rsidRDefault="00BB600E">
      <w:pPr>
        <w:rPr>
          <w:rFonts w:ascii="Arial" w:eastAsia="Arial" w:hAnsi="Arial" w:cs="Arial"/>
          <w:i/>
          <w:sz w:val="22"/>
          <w:szCs w:val="22"/>
        </w:rPr>
      </w:pPr>
    </w:p>
    <w:sectPr w:rsidR="00BB600E">
      <w:type w:val="continuous"/>
      <w:pgSz w:w="12240" w:h="15840"/>
      <w:pgMar w:top="2268" w:right="1418" w:bottom="2268"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642" w:rsidRDefault="00DE0642">
      <w:r>
        <w:separator/>
      </w:r>
    </w:p>
  </w:endnote>
  <w:endnote w:type="continuationSeparator" w:id="0">
    <w:p w:rsidR="00DE0642" w:rsidRDefault="00DE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277E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C753DE">
      <w:rPr>
        <w:noProof/>
        <w:color w:val="000000"/>
      </w:rPr>
      <w:t>2</w:t>
    </w:r>
    <w:r>
      <w:rPr>
        <w:color w:val="000000"/>
      </w:rPr>
      <w:fldChar w:fldCharType="end"/>
    </w:r>
  </w:p>
  <w:p w:rsidR="00BB600E" w:rsidRDefault="00BB600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bookmarkStart w:id="1" w:name="bookmark=id.lnxbz9" w:colFirst="0" w:colLast="0"/>
    <w:bookmarkEnd w:id="1"/>
  </w:p>
  <w:tbl>
    <w:tblPr>
      <w:tblStyle w:val="aa"/>
      <w:tblW w:w="9384" w:type="dxa"/>
      <w:tblInd w:w="0" w:type="dxa"/>
      <w:tblLayout w:type="fixed"/>
      <w:tblLook w:val="0000" w:firstRow="0" w:lastRow="0" w:firstColumn="0" w:lastColumn="0" w:noHBand="0" w:noVBand="0"/>
    </w:tblPr>
    <w:tblGrid>
      <w:gridCol w:w="4824"/>
      <w:gridCol w:w="4560"/>
    </w:tblGrid>
    <w:tr w:rsidR="00BB600E">
      <w:trPr>
        <w:trHeight w:val="1320"/>
      </w:trPr>
      <w:tc>
        <w:tcPr>
          <w:tcW w:w="4824" w:type="dxa"/>
          <w:tcMar>
            <w:top w:w="0" w:type="dxa"/>
            <w:left w:w="0" w:type="dxa"/>
            <w:bottom w:w="0" w:type="dxa"/>
            <w:right w:w="0" w:type="dxa"/>
          </w:tcMar>
          <w:vAlign w:val="center"/>
        </w:tcPr>
        <w:p w:rsidR="00BB600E" w:rsidRDefault="00B277E4">
          <w:pPr>
            <w:pBdr>
              <w:top w:val="nil"/>
              <w:left w:val="nil"/>
              <w:bottom w:val="nil"/>
              <w:right w:val="nil"/>
              <w:between w:val="nil"/>
            </w:pBd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DE0642">
            <w:rPr>
              <w:color w:val="000000"/>
              <w:sz w:val="20"/>
              <w:szCs w:val="20"/>
            </w:rPr>
            <w:fldChar w:fldCharType="begin"/>
          </w:r>
          <w:r w:rsidR="00DE0642">
            <w:rPr>
              <w:color w:val="000000"/>
              <w:sz w:val="20"/>
              <w:szCs w:val="20"/>
            </w:rPr>
            <w:instrText xml:space="preserve"> </w:instrText>
          </w:r>
          <w:r w:rsidR="00DE0642">
            <w:rPr>
              <w:color w:val="000000"/>
              <w:sz w:val="20"/>
              <w:szCs w:val="20"/>
            </w:rPr>
            <w:instrText>INCLUDEPICTURE  "ooxWord://media/image1.JPEG" \* MERGEFORMATINET</w:instrText>
          </w:r>
          <w:r w:rsidR="00DE0642">
            <w:rPr>
              <w:color w:val="000000"/>
              <w:sz w:val="20"/>
              <w:szCs w:val="20"/>
            </w:rPr>
            <w:instrText xml:space="preserve"> </w:instrText>
          </w:r>
          <w:r w:rsidR="00DE0642">
            <w:rPr>
              <w:color w:val="000000"/>
              <w:sz w:val="20"/>
              <w:szCs w:val="20"/>
            </w:rPr>
            <w:fldChar w:fldCharType="separate"/>
          </w:r>
          <w:r w:rsidR="003842E4">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6pt;height:57.6pt">
                <v:imagedata r:id="rId1" r:href="rId2"/>
              </v:shape>
            </w:pict>
          </w:r>
          <w:r w:rsidR="00DE064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c>
        <w:tcPr>
          <w:tcW w:w="4560" w:type="dxa"/>
          <w:tcMar>
            <w:top w:w="0" w:type="dxa"/>
            <w:left w:w="0" w:type="dxa"/>
            <w:bottom w:w="0" w:type="dxa"/>
            <w:right w:w="0" w:type="dxa"/>
          </w:tcMar>
          <w:vAlign w:val="center"/>
        </w:tcPr>
        <w:p w:rsidR="00BB600E" w:rsidRDefault="00B277E4">
          <w:pPr>
            <w:pBdr>
              <w:top w:val="nil"/>
              <w:left w:val="nil"/>
              <w:bottom w:val="nil"/>
              <w:right w:val="nil"/>
              <w:between w:val="nil"/>
            </w:pBdr>
            <w:jc w:val="right"/>
            <w:rPr>
              <w:color w:val="000000"/>
              <w:sz w:val="20"/>
              <w:szCs w:val="20"/>
            </w:rPr>
          </w:pPr>
          <w:r>
            <w:rPr>
              <w:color w:val="000000"/>
              <w:sz w:val="20"/>
              <w:szCs w:val="20"/>
            </w:rPr>
            <w:fldChar w:fldCharType="begin"/>
          </w:r>
          <w:r>
            <w:rPr>
              <w:color w:val="000000"/>
              <w:sz w:val="20"/>
              <w:szCs w:val="20"/>
            </w:rPr>
            <w:instrText xml:space="preserve"> INCLUDEPICTURE  "ooxWord://media/image2.JPEG"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"ooxWord://media/image2.JPEG"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"ooxWord://media/image2.JPEG"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"ooxWord://media/image2.JPEG" \* MERGEFORMATINET </w:instrText>
          </w:r>
          <w:r w:rsidR="00203EC8">
            <w:rPr>
              <w:color w:val="000000"/>
              <w:sz w:val="20"/>
              <w:szCs w:val="20"/>
            </w:rPr>
            <w:fldChar w:fldCharType="separate"/>
          </w:r>
          <w:r w:rsidR="00DE0642">
            <w:rPr>
              <w:color w:val="000000"/>
              <w:sz w:val="20"/>
              <w:szCs w:val="20"/>
            </w:rPr>
            <w:fldChar w:fldCharType="begin"/>
          </w:r>
          <w:r w:rsidR="00DE0642">
            <w:rPr>
              <w:color w:val="000000"/>
              <w:sz w:val="20"/>
              <w:szCs w:val="20"/>
            </w:rPr>
            <w:instrText xml:space="preserve"> </w:instrText>
          </w:r>
          <w:r w:rsidR="00DE0642">
            <w:rPr>
              <w:color w:val="000000"/>
              <w:sz w:val="20"/>
              <w:szCs w:val="20"/>
            </w:rPr>
            <w:instrText>INCLUDEPICTURE  "ooxWord://media/image2.JPEG" \* MERGEFORMATINET</w:instrText>
          </w:r>
          <w:r w:rsidR="00DE0642">
            <w:rPr>
              <w:color w:val="000000"/>
              <w:sz w:val="20"/>
              <w:szCs w:val="20"/>
            </w:rPr>
            <w:instrText xml:space="preserve"> </w:instrText>
          </w:r>
          <w:r w:rsidR="00DE0642">
            <w:rPr>
              <w:color w:val="000000"/>
              <w:sz w:val="20"/>
              <w:szCs w:val="20"/>
            </w:rPr>
            <w:fldChar w:fldCharType="separate"/>
          </w:r>
          <w:r w:rsidR="003842E4">
            <w:rPr>
              <w:color w:val="000000"/>
              <w:sz w:val="20"/>
              <w:szCs w:val="20"/>
            </w:rPr>
            <w:pict>
              <v:shape id="_x0000_i1027" type="#_x0000_t75" style="width:122.4pt;height:64.8pt">
                <v:imagedata r:id="rId3" r:href="rId4"/>
              </v:shape>
            </w:pict>
          </w:r>
          <w:r w:rsidR="00DE064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642" w:rsidRDefault="00DE0642">
      <w:r>
        <w:separator/>
      </w:r>
    </w:p>
  </w:footnote>
  <w:footnote w:type="continuationSeparator" w:id="0">
    <w:p w:rsidR="00DE0642" w:rsidRDefault="00DE0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B600E">
    <w:pPr>
      <w:pBdr>
        <w:top w:val="nil"/>
        <w:left w:val="nil"/>
        <w:bottom w:val="nil"/>
        <w:right w:val="nil"/>
        <w:between w:val="nil"/>
      </w:pBdr>
      <w:tabs>
        <w:tab w:val="center" w:pos="4252"/>
        <w:tab w:val="right" w:pos="8504"/>
      </w:tabs>
      <w:jc w:val="center"/>
      <w:rPr>
        <w:color w:val="FFFFFF"/>
      </w:rPr>
    </w:pPr>
    <w:bookmarkStart w:id="0" w:name="bookmark=id.26in1rg" w:colFirst="0" w:colLast="0"/>
    <w:bookmarkEnd w:id="0"/>
  </w:p>
  <w:tbl>
    <w:tblPr>
      <w:tblStyle w:val="a9"/>
      <w:tblW w:w="9406" w:type="dxa"/>
      <w:tblInd w:w="0" w:type="dxa"/>
      <w:tblLayout w:type="fixed"/>
      <w:tblLook w:val="0000" w:firstRow="0" w:lastRow="0" w:firstColumn="0" w:lastColumn="0" w:noHBand="0" w:noVBand="0"/>
    </w:tblPr>
    <w:tblGrid>
      <w:gridCol w:w="9406"/>
    </w:tblGrid>
    <w:tr w:rsidR="00BB600E">
      <w:tc>
        <w:tcPr>
          <w:tcW w:w="9406" w:type="dxa"/>
          <w:tcMar>
            <w:top w:w="160" w:type="dxa"/>
            <w:left w:w="0" w:type="dxa"/>
            <w:bottom w:w="0" w:type="dxa"/>
            <w:right w:w="0" w:type="dxa"/>
          </w:tcMar>
        </w:tcPr>
        <w:p w:rsidR="00BB600E" w:rsidRDefault="00B277E4">
          <w:pPr>
            <w:pBdr>
              <w:top w:val="nil"/>
              <w:left w:val="nil"/>
              <w:bottom w:val="nil"/>
              <w:right w:val="nil"/>
              <w:between w:val="nil"/>
            </w:pBdr>
            <w:jc w:val="cente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DE0642">
            <w:rPr>
              <w:color w:val="000000"/>
              <w:sz w:val="20"/>
              <w:szCs w:val="20"/>
            </w:rPr>
            <w:fldChar w:fldCharType="begin"/>
          </w:r>
          <w:r w:rsidR="00DE0642">
            <w:rPr>
              <w:color w:val="000000"/>
              <w:sz w:val="20"/>
              <w:szCs w:val="20"/>
            </w:rPr>
            <w:instrText xml:space="preserve"> </w:instrText>
          </w:r>
          <w:r w:rsidR="00DE0642">
            <w:rPr>
              <w:color w:val="000000"/>
              <w:sz w:val="20"/>
              <w:szCs w:val="20"/>
            </w:rPr>
            <w:instrText>INCLUDEPICTURE  "ooxWord://media/image1.JPEG" \* MERGEFORMATINET</w:instrText>
          </w:r>
          <w:r w:rsidR="00DE0642">
            <w:rPr>
              <w:color w:val="000000"/>
              <w:sz w:val="20"/>
              <w:szCs w:val="20"/>
            </w:rPr>
            <w:instrText xml:space="preserve"> </w:instrText>
          </w:r>
          <w:r w:rsidR="00DE0642">
            <w:rPr>
              <w:color w:val="000000"/>
              <w:sz w:val="20"/>
              <w:szCs w:val="20"/>
            </w:rPr>
            <w:fldChar w:fldCharType="separate"/>
          </w:r>
          <w:r w:rsidR="00DE0642">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7.6pt">
                <v:imagedata r:id="rId1" r:href="rId2"/>
              </v:shape>
            </w:pict>
          </w:r>
          <w:r w:rsidR="00DE064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D6932"/>
    <w:multiLevelType w:val="multilevel"/>
    <w:tmpl w:val="E4EEFD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6A65C7"/>
    <w:multiLevelType w:val="multilevel"/>
    <w:tmpl w:val="A25061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7B0911"/>
    <w:multiLevelType w:val="multilevel"/>
    <w:tmpl w:val="F2648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A2E628C"/>
    <w:multiLevelType w:val="multilevel"/>
    <w:tmpl w:val="CA3CE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7444CB"/>
    <w:multiLevelType w:val="multilevel"/>
    <w:tmpl w:val="E2E4EF54"/>
    <w:lvl w:ilvl="0">
      <w:start w:val="6"/>
      <w:numFmt w:val="decimal"/>
      <w:lvlText w:val="%1."/>
      <w:lvlJc w:val="left"/>
      <w:pPr>
        <w:ind w:left="400" w:hanging="4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0E"/>
    <w:rsid w:val="00066A51"/>
    <w:rsid w:val="00104354"/>
    <w:rsid w:val="00145BA4"/>
    <w:rsid w:val="00193C38"/>
    <w:rsid w:val="00203EC8"/>
    <w:rsid w:val="002351FA"/>
    <w:rsid w:val="003842E4"/>
    <w:rsid w:val="00577AEE"/>
    <w:rsid w:val="00A8598B"/>
    <w:rsid w:val="00B277E4"/>
    <w:rsid w:val="00BB600E"/>
    <w:rsid w:val="00C753DE"/>
    <w:rsid w:val="00DD7AD9"/>
    <w:rsid w:val="00DE0642"/>
    <w:rsid w:val="00E93FBE"/>
    <w:rsid w:val="00EF654D"/>
    <w:rsid w:val="00FC5A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1B5756-F078-450E-805C-BCB9C937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59"/>
    <w:rPr>
      <w:lang w:eastAsia="es-ES"/>
    </w:rPr>
  </w:style>
  <w:style w:type="paragraph" w:styleId="Ttulo1">
    <w:name w:val="heading 1"/>
    <w:basedOn w:val="Normal"/>
    <w:next w:val="Normal"/>
    <w:link w:val="Ttulo1Car"/>
    <w:uiPriority w:val="9"/>
    <w:qFormat/>
    <w:rsid w:val="00745CAC"/>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745CAC"/>
    <w:pPr>
      <w:keepNext/>
      <w:spacing w:before="240" w:after="60" w:line="276" w:lineRule="auto"/>
      <w:outlineLvl w:val="1"/>
    </w:pPr>
    <w:rPr>
      <w:rFonts w:ascii="Arial" w:eastAsiaTheme="majorEastAsia" w:hAnsi="Arial" w:cstheme="majorBidi"/>
      <w:b/>
      <w:bCs/>
      <w:iCs/>
      <w:sz w:val="22"/>
      <w:szCs w:val="28"/>
      <w:lang w:val="es-ES" w:eastAsia="en-U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basedOn w:val="Normal"/>
    <w:uiPriority w:val="34"/>
    <w:qFormat/>
    <w:rsid w:val="003B36C6"/>
    <w:pPr>
      <w:ind w:left="720"/>
      <w:contextualSpacing/>
    </w:pPr>
  </w:style>
  <w:style w:type="character" w:customStyle="1" w:styleId="Ttulo1Car">
    <w:name w:val="Título 1 Car"/>
    <w:basedOn w:val="Fuentedeprrafopredeter"/>
    <w:link w:val="Ttulo1"/>
    <w:uiPriority w:val="9"/>
    <w:rsid w:val="00745CAC"/>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745CAC"/>
    <w:rPr>
      <w:rFonts w:ascii="Arial" w:eastAsiaTheme="majorEastAsia" w:hAnsi="Arial" w:cstheme="majorBidi"/>
      <w:b/>
      <w:bCs/>
      <w:iCs/>
      <w:sz w:val="22"/>
      <w:szCs w:val="28"/>
      <w:lang w:val="es-ES" w:eastAsia="en-US"/>
    </w:rPr>
  </w:style>
  <w:style w:type="paragraph" w:customStyle="1" w:styleId="contenido">
    <w:name w:val="contenido"/>
    <w:basedOn w:val="Normal"/>
    <w:rsid w:val="00745CAC"/>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CD6E92"/>
    <w:rPr>
      <w:color w:val="66666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488681">
      <w:bodyDiv w:val="1"/>
      <w:marLeft w:val="0"/>
      <w:marRight w:val="0"/>
      <w:marTop w:val="0"/>
      <w:marBottom w:val="0"/>
      <w:divBdr>
        <w:top w:val="none" w:sz="0" w:space="0" w:color="auto"/>
        <w:left w:val="none" w:sz="0" w:space="0" w:color="auto"/>
        <w:bottom w:val="none" w:sz="0" w:space="0" w:color="auto"/>
        <w:right w:val="none" w:sz="0" w:space="0" w:color="auto"/>
      </w:divBdr>
    </w:div>
    <w:div w:id="1480032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SiCRTl71Xu/eotM4puNffpXTiw==">CgMxLjAyCWlkLmdqZGd4czIKaWQuMzBqMHpsbDIKaWQuMWZvYjl0ZTIKaWQuM3pueXNoNzIKaWQuMmV0OTJwMDIIaC50eWpjd3QyCWguM2R5NnZrbTIJaC4xdDNoNXNmMgppZC40ZDM0b2c4MgppZC4yczhleW8xMgppZC4xN2RwOHZ1MgppZC4zcmRjcmpuMgppZC4yNmluMXJnMglpZC5sbnhiejk4AHIhMUxUc1p3MHdyUmxEbzZLb1NiN2QtdkFwdHhjRTNVLUZD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17</Pages>
  <Words>3044</Words>
  <Characters>16748</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Zamora</dc:creator>
  <cp:lastModifiedBy>Cuenta Microsoft</cp:lastModifiedBy>
  <cp:revision>12</cp:revision>
  <dcterms:created xsi:type="dcterms:W3CDTF">2024-04-09T01:59:00Z</dcterms:created>
  <dcterms:modified xsi:type="dcterms:W3CDTF">2024-12-09T21:41:00Z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